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NPW Common" w:hAnsi="NPW Common" w:eastAsia="NPW Common" w:cs="NPW Common"/>
        </w:rPr>
        <w:drawing>
          <wp:inline xmlns:a="http://schemas.openxmlformats.org/drawingml/2006/main" xmlns:pic="http://schemas.openxmlformats.org/drawingml/2006/picture">
            <wp:extent cx="1554480" cy="874950"/>
            <wp:docPr id="1" name="Picture 1"/>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1554480" cy="874950"/>
                    </a:xfrm>
                    <a:prstGeom prst="rect"/>
                  </pic:spPr>
                </pic:pic>
              </a:graphicData>
            </a:graphic>
          </wp:inline>
        </w:drawing>
      </w:r>
    </w:p>
    <w:p>
      <w:pPr>
        <w:pStyle w:val="Title"/>
      </w:pPr>
      <w:r>
        <w:rPr>
          <w:rFonts w:ascii="NPW Common" w:hAnsi="NPW Common" w:eastAsia="NPW Common" w:cs="NPW Common"/>
        </w:rPr>
        <w:t>Casebook teacher edition</w:t>
      </w:r>
    </w:p>
    <w:p>
      <w:r>
        <w:rPr>
          <w:rFonts w:ascii="NPW Common" w:hAnsi="NPW Common" w:eastAsia="NPW Common" w:cs="NPW Common"/>
          <w:b/>
        </w:rPr>
        <w:t>Before you run with it</w:t>
      </w:r>
    </w:p>
    <w:p>
      <w:r>
        <w:rPr>
          <w:rFonts w:ascii="NPW Common" w:hAnsi="NPW Common" w:eastAsia="NPW Common" w:cs="NPW Common"/>
          <w:b w:val="0"/>
        </w:rPr>
        <w:t>Four connected stories and eight workshops for grades 6-12. Editable plans, worked responses, professional methods and assessment guidance.</w:t>
      </w:r>
    </w:p>
    <w:p>
      <w:r>
        <w:rPr>
          <w:rFonts w:ascii="NPW Common" w:hAnsi="NPW Common" w:eastAsia="NPW Common" w:cs="NPW Common"/>
          <w:b w:val="0"/>
        </w:rPr>
        <w:t>Use this guide to help students investigate a claim, explain what a rule does, correct a public message and evaluate a shared-space decision. Collect evidence of reasoning and revision. Students can disagree about a recommendation while meeting the same goal.</w:t>
      </w:r>
    </w:p>
    <w:p>
      <w:pPr>
        <w:pStyle w:val="Heading2"/>
      </w:pPr>
      <w:r>
        <w:rPr>
          <w:rFonts w:ascii="NPW Common" w:hAnsi="NPW Common" w:eastAsia="NPW Common" w:cs="NPW Common"/>
        </w:rPr>
        <w:t>The neighborhood</w:t>
      </w:r>
    </w:p>
    <w:p>
      <w:r>
        <w:rPr>
          <w:rFonts w:ascii="NPW Common" w:hAnsi="NPW Common" w:eastAsia="NPW Common" w:cs="NPW Common"/>
          <w:b w:val="0"/>
        </w:rPr>
        <w:t>Mateo and Gia met in Children, Youth, and Digital Culture at a college in New York. Their after-class conversations grew into open media nights at a Fort Greene bookshop. Neighbors of different ages join the work. The companions prompt inquiry while the people and the learner decide what the evidence supports.</w:t>
      </w:r>
    </w:p>
    <w:tbl>
      <w:tblPr>
        <w:tblW w:type="auto" w:w="0"/>
        <w:tblLayout w:type="fixed"/>
        <w:tblLook w:firstColumn="1" w:firstRow="1" w:lastColumn="0" w:lastRow="0" w:noHBand="0" w:noVBand="1" w:val="04A0"/>
      </w:tblPr>
      <w:tblGrid>
        <w:gridCol w:w="3744"/>
        <w:gridCol w:w="6336"/>
      </w:tblGrid>
      <w:tr>
        <w:trPr>
          <w:tblHeader/>
        </w:trPr>
        <w:tc>
          <w:tcPr>
            <w:tcW w:type="dxa" w:w="3744"/>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234EDB"/>
          </w:tcPr>
          <w:p>
            <w:pPr>
              <w:spacing w:after="60" w:line="269" w:lineRule="auto"/>
            </w:pPr>
            <w:r>
              <w:rPr>
                <w:rFonts w:ascii="NPW Common" w:hAnsi="NPW Common" w:eastAsia="NPW Common" w:cs="NPW Common"/>
                <w:b/>
                <w:color w:val="FFFFFF"/>
                <w:sz w:val="18"/>
              </w:rPr>
              <w:t>Case</w:t>
            </w:r>
          </w:p>
        </w:tc>
        <w:tc>
          <w:tcPr>
            <w:tcW w:type="dxa" w:w="6336"/>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234EDB"/>
          </w:tcPr>
          <w:p>
            <w:pPr>
              <w:spacing w:after="60" w:line="269" w:lineRule="auto"/>
            </w:pPr>
            <w:r>
              <w:rPr>
                <w:rFonts w:ascii="NPW Common" w:hAnsi="NPW Common" w:eastAsia="NPW Common" w:cs="NPW Common"/>
                <w:b/>
                <w:color w:val="FFFFFF"/>
                <w:sz w:val="18"/>
              </w:rPr>
              <w:t>Finished piece</w:t>
            </w:r>
          </w:p>
        </w:tc>
      </w:tr>
      <w:tr>
        <w:tc>
          <w:tcPr>
            <w:tcW w:type="dxa" w:w="3744"/>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Before you repost</w:t>
            </w:r>
          </w:p>
        </w:tc>
        <w:tc>
          <w:tcPr>
            <w:tcW w:type="dxa" w:w="6336"/>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A correction with the original context and an arrival plan.</w:t>
            </w:r>
          </w:p>
        </w:tc>
      </w:tr>
      <w:tr>
        <w:tc>
          <w:tcPr>
            <w:tcW w:type="dxa" w:w="3744"/>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5F8FF"/>
          </w:tcPr>
          <w:p>
            <w:pPr>
              <w:spacing w:after="60" w:line="269" w:lineRule="auto"/>
            </w:pPr>
            <w:r>
              <w:rPr>
                <w:rFonts w:ascii="NPW Common" w:hAnsi="NPW Common" w:eastAsia="NPW Common" w:cs="NPW Common"/>
                <w:b w:val="0"/>
                <w:color w:val="172F46"/>
                <w:sz w:val="18"/>
              </w:rPr>
              <w:t>Same test. More questions</w:t>
            </w:r>
          </w:p>
        </w:tc>
        <w:tc>
          <w:tcPr>
            <w:tcW w:type="dxa" w:w="6336"/>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5F8FF"/>
          </w:tcPr>
          <w:p>
            <w:pPr>
              <w:spacing w:after="60" w:line="269" w:lineRule="auto"/>
            </w:pPr>
            <w:r>
              <w:rPr>
                <w:rFonts w:ascii="NPW Common" w:hAnsi="NPW Common" w:eastAsia="NPW Common" w:cs="NPW Common"/>
                <w:b w:val="0"/>
                <w:color w:val="172F46"/>
                <w:sz w:val="18"/>
              </w:rPr>
              <w:t>A support request that preserves the learning goal without making a diagnosis.</w:t>
            </w:r>
          </w:p>
        </w:tc>
      </w:tr>
      <w:tr>
        <w:tc>
          <w:tcPr>
            <w:tcW w:type="dxa" w:w="3744"/>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The apology is not the repair</w:t>
            </w:r>
          </w:p>
        </w:tc>
        <w:tc>
          <w:tcPr>
            <w:tcW w:type="dxa" w:w="6336"/>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A correction, a repair commitment and a way to check understanding.</w:t>
            </w:r>
          </w:p>
        </w:tc>
      </w:tr>
      <w:tr>
        <w:tc>
          <w:tcPr>
            <w:tcW w:type="dxa" w:w="3744"/>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5F8FF"/>
          </w:tcPr>
          <w:p>
            <w:pPr>
              <w:spacing w:after="60" w:line="269" w:lineRule="auto"/>
            </w:pPr>
            <w:r>
              <w:rPr>
                <w:rFonts w:ascii="NPW Common" w:hAnsi="NPW Common" w:eastAsia="NPW Common" w:cs="NPW Common"/>
                <w:b w:val="0"/>
                <w:color w:val="172F46"/>
                <w:sz w:val="18"/>
              </w:rPr>
              <w:t>Whose room is it, anyway?</w:t>
            </w:r>
          </w:p>
        </w:tc>
        <w:tc>
          <w:tcPr>
            <w:tcW w:type="dxa" w:w="6336"/>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5F8FF"/>
          </w:tcPr>
          <w:p>
            <w:pPr>
              <w:spacing w:after="60" w:line="269" w:lineRule="auto"/>
            </w:pPr>
            <w:r>
              <w:rPr>
                <w:rFonts w:ascii="NPW Common" w:hAnsi="NPW Common" w:eastAsia="NPW Common" w:cs="NPW Common"/>
                <w:b w:val="0"/>
                <w:color w:val="172F46"/>
                <w:sz w:val="18"/>
              </w:rPr>
              <w:t>A board comment with a checked budget and a fair alternative.</w:t>
            </w:r>
          </w:p>
        </w:tc>
      </w:tr>
    </w:tbl>
    <w:p>
      <w:r>
        <w:rPr>
          <w:rFonts w:ascii="NPW Common" w:hAnsi="NPW Common" w:eastAsia="NPW Common" w:cs="NPW Common"/>
        </w:rPr>
        <w:br w:type="page"/>
      </w:r>
    </w:p>
    <w:p>
      <w:pPr>
        <w:pStyle w:val="Heading1"/>
      </w:pPr>
      <w:r>
        <w:rPr>
          <w:rFonts w:ascii="NPW Common" w:hAnsi="NPW Common" w:eastAsia="NPW Common" w:cs="NPW Common"/>
        </w:rPr>
        <w:t>Planning and participation</w:t>
      </w:r>
    </w:p>
    <w:p>
      <w:r>
        <w:rPr>
          <w:rFonts w:ascii="NPW Common" w:hAnsi="NPW Common" w:eastAsia="NPW Common" w:cs="NPW Common"/>
          <w:b w:val="0"/>
        </w:rPr>
        <w:t>Each case takes two 45-minute workshops. Prepare the source packet, matched deck and response supports. Preview external media before class. The core text path is complete without a movie, TikTok, outside account or public post.</w:t>
      </w:r>
    </w:p>
    <w:p>
      <w:pPr>
        <w:pStyle w:val="Heading2"/>
      </w:pPr>
      <w:r>
        <w:rPr>
          <w:rFonts w:ascii="NPW Common" w:hAnsi="NPW Common" w:eastAsia="NPW Common" w:cs="NPW Common"/>
        </w:rPr>
        <w:t>The assessed work</w:t>
      </w:r>
    </w:p>
    <w:p>
      <w:r>
        <w:rPr>
          <w:rFonts w:ascii="NPW Common" w:hAnsi="NPW Common" w:eastAsia="NPW Common" w:cs="NPW Common"/>
          <w:b w:val="0"/>
        </w:rPr>
        <w:t>Keep annotations, a first draft, a recorded peer question or discussion observation, and the revised writing with an explanation. A quiz click alone does not demonstrate a reading or writing standard. A solo recording is not evidence of collaborative discussion.</w:t>
      </w:r>
    </w:p>
    <w:p>
      <w:pPr>
        <w:pStyle w:val="Heading2"/>
      </w:pPr>
      <w:r>
        <w:rPr>
          <w:rFonts w:ascii="NPW Common" w:hAnsi="NPW Common" w:eastAsia="NPW Common" w:cs="NPW Common"/>
        </w:rPr>
        <w:t>Access and choice</w:t>
      </w:r>
    </w:p>
    <w:p>
      <w:r>
        <w:rPr>
          <w:rFonts w:ascii="NPW Common" w:hAnsi="NPW Common" w:eastAsia="NPW Common" w:cs="NPW Common"/>
          <w:b w:val="0"/>
        </w:rPr>
        <w:t>Use each learner’s existing supports. Offer read-aloud text, diagrams, bilingual planning and oral rehearsal. Preserve the actual learning goal. When writing is the target, collect writing rather than equating a spoken explanation with that standard. Never require students to disclose diagnoses, politics, family circumstances or private records.</w:t>
      </w:r>
    </w:p>
    <w:p>
      <w:pPr>
        <w:pStyle w:val="Heading2"/>
      </w:pPr>
      <w:r>
        <w:rPr>
          <w:rFonts w:ascii="NPW Common" w:hAnsi="NPW Common" w:eastAsia="NPW Common" w:cs="NPW Common"/>
        </w:rPr>
        <w:t>Assessment</w:t>
      </w:r>
    </w:p>
    <w:tbl>
      <w:tblPr>
        <w:tblW w:type="auto" w:w="0"/>
        <w:tblLayout w:type="fixed"/>
        <w:tblLook w:firstColumn="1" w:firstRow="1" w:lastColumn="0" w:lastRow="0" w:noHBand="0" w:noVBand="1" w:val="04A0"/>
      </w:tblPr>
      <w:tblGrid>
        <w:gridCol w:w="2304"/>
        <w:gridCol w:w="7776"/>
      </w:tblGrid>
      <w:tr>
        <w:trPr>
          <w:tblHeader/>
        </w:trPr>
        <w:tc>
          <w:tcPr>
            <w:tcW w:type="dxa" w:w="2304"/>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234EDB"/>
          </w:tcPr>
          <w:p>
            <w:pPr>
              <w:spacing w:after="60" w:line="269" w:lineRule="auto"/>
            </w:pPr>
            <w:r>
              <w:rPr>
                <w:rFonts w:ascii="NPW Common" w:hAnsi="NPW Common" w:eastAsia="NPW Common" w:cs="NPW Common"/>
                <w:b/>
                <w:color w:val="FFFFFF"/>
                <w:sz w:val="18"/>
              </w:rPr>
              <w:t>Dimension</w:t>
            </w:r>
          </w:p>
        </w:tc>
        <w:tc>
          <w:tcPr>
            <w:tcW w:type="dxa" w:w="7776"/>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234EDB"/>
          </w:tcPr>
          <w:p>
            <w:pPr>
              <w:spacing w:after="60" w:line="269" w:lineRule="auto"/>
            </w:pPr>
            <w:r>
              <w:rPr>
                <w:rFonts w:ascii="NPW Common" w:hAnsi="NPW Common" w:eastAsia="NPW Common" w:cs="NPW Common"/>
                <w:b/>
                <w:color w:val="FFFFFF"/>
                <w:sz w:val="18"/>
              </w:rPr>
              <w:t>Evidence of strong work</w:t>
            </w:r>
          </w:p>
        </w:tc>
      </w:tr>
      <w:tr>
        <w:tc>
          <w:tcPr>
            <w:tcW w:type="dxa" w:w="2304"/>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Evidence</w:t>
            </w:r>
          </w:p>
        </w:tc>
        <w:tc>
          <w:tcPr>
            <w:tcW w:type="dxa" w:w="7776"/>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A specific relevant detail supports the claim.</w:t>
            </w:r>
          </w:p>
        </w:tc>
      </w:tr>
      <w:tr>
        <w:tc>
          <w:tcPr>
            <w:tcW w:type="dxa" w:w="2304"/>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5F8FF"/>
          </w:tcPr>
          <w:p>
            <w:pPr>
              <w:spacing w:after="60" w:line="269" w:lineRule="auto"/>
            </w:pPr>
            <w:r>
              <w:rPr>
                <w:rFonts w:ascii="NPW Common" w:hAnsi="NPW Common" w:eastAsia="NPW Common" w:cs="NPW Common"/>
                <w:b w:val="0"/>
                <w:color w:val="172F46"/>
                <w:sz w:val="18"/>
              </w:rPr>
              <w:t>Reasoning</w:t>
            </w:r>
          </w:p>
        </w:tc>
        <w:tc>
          <w:tcPr>
            <w:tcW w:type="dxa" w:w="7776"/>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5F8FF"/>
          </w:tcPr>
          <w:p>
            <w:pPr>
              <w:spacing w:after="60" w:line="269" w:lineRule="auto"/>
            </w:pPr>
            <w:r>
              <w:rPr>
                <w:rFonts w:ascii="NPW Common" w:hAnsi="NPW Common" w:eastAsia="NPW Common" w:cs="NPW Common"/>
                <w:b w:val="0"/>
                <w:color w:val="172F46"/>
                <w:sz w:val="18"/>
              </w:rPr>
              <w:t>The explanation connects that detail to a claim and names a limit.</w:t>
            </w:r>
          </w:p>
        </w:tc>
      </w:tr>
      <w:tr>
        <w:tc>
          <w:tcPr>
            <w:tcW w:type="dxa" w:w="2304"/>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Perspective and authority</w:t>
            </w:r>
          </w:p>
        </w:tc>
        <w:tc>
          <w:tcPr>
            <w:tcW w:type="dxa" w:w="7776"/>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The learner considers effects and identifies who can act.</w:t>
            </w:r>
          </w:p>
        </w:tc>
      </w:tr>
      <w:tr>
        <w:tc>
          <w:tcPr>
            <w:tcW w:type="dxa" w:w="2304"/>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5F8FF"/>
          </w:tcPr>
          <w:p>
            <w:pPr>
              <w:spacing w:after="60" w:line="269" w:lineRule="auto"/>
            </w:pPr>
            <w:r>
              <w:rPr>
                <w:rFonts w:ascii="NPW Common" w:hAnsi="NPW Common" w:eastAsia="NPW Common" w:cs="NPW Common"/>
                <w:b w:val="0"/>
                <w:color w:val="172F46"/>
                <w:sz w:val="18"/>
              </w:rPr>
              <w:t>Communication</w:t>
            </w:r>
          </w:p>
        </w:tc>
        <w:tc>
          <w:tcPr>
            <w:tcW w:type="dxa" w:w="7776"/>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5F8FF"/>
          </w:tcPr>
          <w:p>
            <w:pPr>
              <w:spacing w:after="60" w:line="269" w:lineRule="auto"/>
            </w:pPr>
            <w:r>
              <w:rPr>
                <w:rFonts w:ascii="NPW Common" w:hAnsi="NPW Common" w:eastAsia="NPW Common" w:cs="NPW Common"/>
                <w:b w:val="0"/>
                <w:color w:val="172F46"/>
                <w:sz w:val="18"/>
              </w:rPr>
              <w:t>The audience understands the change and a next step.</w:t>
            </w:r>
          </w:p>
        </w:tc>
      </w:tr>
      <w:tr>
        <w:tc>
          <w:tcPr>
            <w:tcW w:type="dxa" w:w="2304"/>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Revision</w:t>
            </w:r>
          </w:p>
        </w:tc>
        <w:tc>
          <w:tcPr>
            <w:tcW w:type="dxa" w:w="7776"/>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A before-and-after comparison explains why an edit improved the work.</w:t>
            </w:r>
          </w:p>
        </w:tc>
      </w:tr>
    </w:tbl>
    <w:p>
      <w:r>
        <w:rPr>
          <w:rFonts w:ascii="NPW Common" w:hAnsi="NPW Common" w:eastAsia="NPW Common" w:cs="NPW Common"/>
          <w:b w:val="0"/>
        </w:rPr>
        <w:t>Optional local scale: 0 absent, 1 attempted with material gaps, 2 accurate and supported, 3 precise with a meaningful qualification or revision. Do not convert this to AP scores or IB achievement levels. Do not grade political agreement, accent or production budget.</w:t>
      </w:r>
    </w:p>
    <w:p>
      <w:r>
        <w:rPr>
          <w:rFonts w:ascii="NPW Common" w:hAnsi="NPW Common" w:eastAsia="NPW Common" w:cs="NPW Common"/>
        </w:rPr>
        <w:br w:type="page"/>
      </w:r>
    </w:p>
    <w:p>
      <w:pPr>
        <w:pStyle w:val="Heading1"/>
      </w:pPr>
      <w:r>
        <w:rPr>
          <w:rFonts w:ascii="NPW Common" w:hAnsi="NPW Common" w:eastAsia="NPW Common" w:cs="NPW Common"/>
        </w:rPr>
        <w:t>Case 1 Before you repost</w:t>
      </w:r>
    </w:p>
    <w:p>
      <w:pPr>
        <w:pStyle w:val="Heading2"/>
      </w:pPr>
      <w:r>
        <w:rPr>
          <w:rFonts w:ascii="NPW Common" w:hAnsi="NPW Common" w:eastAsia="NPW Common" w:cs="NPW Common"/>
        </w:rPr>
        <w:t>Learning goal</w:t>
      </w:r>
    </w:p>
    <w:p>
      <w:r>
        <w:rPr>
          <w:rFonts w:ascii="NPW Common" w:hAnsi="NPW Common" w:eastAsia="NPW Common" w:cs="NPW Common"/>
          <w:b w:val="0"/>
        </w:rPr>
        <w:t>Use the original source to separate a claim from a supported fact, then write an update that helps people act.</w:t>
      </w:r>
    </w:p>
    <w:p>
      <w:pPr>
        <w:pStyle w:val="Heading2"/>
      </w:pPr>
      <w:r>
        <w:rPr>
          <w:rFonts w:ascii="NPW Common" w:hAnsi="NPW Common" w:eastAsia="NPW Common" w:cs="NPW Common"/>
        </w:rPr>
        <w:t>The situation</w:t>
      </w:r>
    </w:p>
    <w:p>
      <w:r>
        <w:rPr>
          <w:rFonts w:ascii="NPW Common" w:hAnsi="NPW Common" w:eastAsia="NPW Common" w:cs="NPW Common"/>
          <w:b w:val="0"/>
        </w:rPr>
        <w:t>The Common Room is a bookshop’s shared event space in Fort Greene. Mateo, 22, booked it for the crew’s first neighborhood screening. Gia, 21, is squeezing setup between class and a café shift. Jordy, 20, is checking the projector and captions.</w:t>
      </w:r>
    </w:p>
    <w:p>
      <w:r>
        <w:rPr>
          <w:rFonts w:ascii="NPW Common" w:hAnsi="NPW Common" w:eastAsia="NPW Common" w:cs="NPW Common"/>
          <w:b w:val="0"/>
        </w:rPr>
        <w:t>Then a cropped meeting clip arrives. Its caption says the room is shutting down. Gia wants to warn people before they travel. Mateo wants the post to be wrong. You have ten minutes to give people an update, but you do not have to guess.</w:t>
      </w:r>
    </w:p>
    <w:p>
      <w:pPr>
        <w:pStyle w:val="Heading2"/>
      </w:pPr>
      <w:r>
        <w:rPr>
          <w:rFonts w:ascii="NPW Common" w:hAnsi="NPW Common" w:eastAsia="NPW Common" w:cs="NPW Common"/>
        </w:rPr>
        <w:t>Source verification + claim, evidence, reasoning</w:t>
      </w:r>
    </w:p>
    <w:p>
      <w:r>
        <w:rPr>
          <w:rFonts w:ascii="NPW Common" w:hAnsi="NPW Common" w:eastAsia="NPW Common" w:cs="NPW Common"/>
          <w:b w:val="0"/>
        </w:rPr>
        <w:t>Claim. Write exactly what the post asks people to believe.</w:t>
      </w:r>
    </w:p>
    <w:p>
      <w:r>
        <w:rPr>
          <w:rFonts w:ascii="NPW Common" w:hAnsi="NPW Common" w:eastAsia="NPW Common" w:cs="NPW Common"/>
          <w:b w:val="0"/>
        </w:rPr>
        <w:t>Evidence. Find the words about the side-door reader. Compare them with the booking email.</w:t>
      </w:r>
    </w:p>
    <w:p>
      <w:r>
        <w:rPr>
          <w:rFonts w:ascii="NPW Common" w:hAnsi="NPW Common" w:eastAsia="NPW Common" w:cs="NPW Common"/>
          <w:b w:val="0"/>
        </w:rPr>
        <w:t>Reasoning. Explain why an entrance change does not establish an event cancellation.</w:t>
      </w:r>
    </w:p>
    <w:p>
      <w:r>
        <w:rPr>
          <w:rFonts w:ascii="NPW Common" w:hAnsi="NPW Common" w:eastAsia="NPW Common" w:cs="NPW Common"/>
          <w:b w:val="0"/>
        </w:rPr>
        <w:t>Limit. What do we still need to check about the temporary entrance?</w:t>
      </w:r>
    </w:p>
    <w:p>
      <w:r>
        <w:rPr>
          <w:rFonts w:ascii="NPW Common" w:hAnsi="NPW Common" w:eastAsia="NPW Common" w:cs="NPW Common"/>
          <w:b w:val="0"/>
        </w:rPr>
        <w:t>Misunderstanding to watch for: Calling the clip fake skips the actual problem. The clip is real in the story; its missing context changes its meaning.</w:t>
      </w:r>
    </w:p>
    <w:p>
      <w:r>
        <w:rPr>
          <w:rFonts w:ascii="NPW Common" w:hAnsi="NPW Common" w:eastAsia="NPW Common" w:cs="NPW Common"/>
          <w:b/>
        </w:rPr>
        <w:t xml:space="preserve">Digital Inquiry Group  </w:t>
      </w:r>
      <w:hyperlink r:id="rId11">
        <w:r>
          <w:rPr>
            <w:rFonts w:ascii="NPW Common" w:hAnsi="NPW Common" w:eastAsia="NPW Common" w:cs="NPW Common"/>
            <w:color w:val="234EDB"/>
          </w:rPr>
          <w:t>Open source</w:t>
        </w:r>
      </w:hyperlink>
    </w:p>
    <w:p>
      <w:r>
        <w:rPr>
          <w:rFonts w:ascii="NPW Common" w:hAnsi="NPW Common" w:eastAsia="NPW Common" w:cs="NPW Common"/>
          <w:b/>
        </w:rPr>
        <w:t xml:space="preserve">Toulmin argument, Purdue OWL  </w:t>
      </w:r>
      <w:hyperlink r:id="rId12">
        <w:r>
          <w:rPr>
            <w:rFonts w:ascii="NPW Common" w:hAnsi="NPW Common" w:eastAsia="NPW Common" w:cs="NPW Common"/>
            <w:color w:val="234EDB"/>
          </w:rPr>
          <w:t>Open source</w:t>
        </w:r>
      </w:hyperlink>
    </w:p>
    <w:p>
      <w:r>
        <w:rPr>
          <w:rFonts w:ascii="NPW Common" w:hAnsi="NPW Common" w:eastAsia="NPW Common" w:cs="NPW Common"/>
        </w:rPr>
        <w:br w:type="page"/>
      </w:r>
    </w:p>
    <w:p>
      <w:pPr>
        <w:pStyle w:val="Heading1"/>
      </w:pPr>
      <w:r>
        <w:rPr>
          <w:rFonts w:ascii="NPW Common" w:hAnsi="NPW Common" w:eastAsia="NPW Common" w:cs="NPW Common"/>
        </w:rPr>
        <w:t>Workshop 1 The screenshot problem</w:t>
      </w:r>
    </w:p>
    <w:p>
      <w:r>
        <w:rPr>
          <w:rFonts w:ascii="NPW Common" w:hAnsi="NPW Common" w:eastAsia="NPW Common" w:cs="NPW Common"/>
          <w:b/>
        </w:rPr>
        <w:t>Distinguish the shared claim from what the full notice confirms.</w:t>
      </w:r>
    </w:p>
    <w:p>
      <w:pPr>
        <w:pStyle w:val="Heading2"/>
      </w:pPr>
      <w:r>
        <w:rPr>
          <w:rFonts w:ascii="NPW Common" w:hAnsi="NPW Common" w:eastAsia="NPW Common" w:cs="NPW Common"/>
        </w:rPr>
        <w:t>5 minutes Read the post</w:t>
      </w:r>
    </w:p>
    <w:p>
      <w:r>
        <w:rPr>
          <w:rFonts w:ascii="NPW Common" w:hAnsi="NPW Common" w:eastAsia="NPW Common" w:cs="NPW Common"/>
          <w:b w:val="0"/>
        </w:rPr>
        <w:t>Show only evidence A. Individually write what happened and what you are assuming. Do not vote on whether the poster is a good person.</w:t>
      </w:r>
    </w:p>
    <w:p>
      <w:pPr>
        <w:pStyle w:val="Heading2"/>
      </w:pPr>
      <w:r>
        <w:rPr>
          <w:rFonts w:ascii="NPW Common" w:hAnsi="NPW Common" w:eastAsia="NPW Common" w:cs="NPW Common"/>
        </w:rPr>
        <w:t>8 minutes Build the question</w:t>
      </w:r>
    </w:p>
    <w:p>
      <w:r>
        <w:rPr>
          <w:rFonts w:ascii="NPW Common" w:hAnsi="NPW Common" w:eastAsia="NPW Common" w:cs="NPW Common"/>
          <w:b w:val="0"/>
        </w:rPr>
        <w:t>Compare one observation with one interpretation. Lupa asks: Where is the original? Pairs draft a question that could change their view.</w:t>
      </w:r>
    </w:p>
    <w:p>
      <w:pPr>
        <w:pStyle w:val="Heading2"/>
      </w:pPr>
      <w:r>
        <w:rPr>
          <w:rFonts w:ascii="NPW Common" w:hAnsi="NPW Common" w:eastAsia="NPW Common" w:cs="NPW Common"/>
        </w:rPr>
        <w:t>12 minutes Open the receipts</w:t>
      </w:r>
    </w:p>
    <w:p>
      <w:r>
        <w:rPr>
          <w:rFonts w:ascii="NPW Common" w:hAnsi="NPW Common" w:eastAsia="NPW Common" w:cs="NPW Common"/>
          <w:b w:val="0"/>
        </w:rPr>
        <w:t>Read B and C. Highlight the words that narrow “access.” Put each document beside the claim it supports.</w:t>
      </w:r>
    </w:p>
    <w:p>
      <w:pPr>
        <w:pStyle w:val="Heading2"/>
      </w:pPr>
      <w:r>
        <w:rPr>
          <w:rFonts w:ascii="NPW Common" w:hAnsi="NPW Common" w:eastAsia="NPW Common" w:cs="NPW Common"/>
        </w:rPr>
        <w:t>12 minutes Check beyond the post</w:t>
      </w:r>
    </w:p>
    <w:p>
      <w:r>
        <w:rPr>
          <w:rFonts w:ascii="NPW Common" w:hAnsi="NPW Common" w:eastAsia="NPW Common" w:cs="NPW Common"/>
          <w:b w:val="0"/>
        </w:rPr>
        <w:t>Model lateral reading with a teacher-selected source: leave the page, investigate who is behind it, then return. For paper-only groups, compare source descriptions and dates.</w:t>
      </w:r>
    </w:p>
    <w:p>
      <w:pPr>
        <w:pStyle w:val="Heading2"/>
      </w:pPr>
      <w:r>
        <w:rPr>
          <w:rFonts w:ascii="NPW Common" w:hAnsi="NPW Common" w:eastAsia="NPW Common" w:cs="NPW Common"/>
        </w:rPr>
        <w:t>8 minutes Revise the take</w:t>
      </w:r>
    </w:p>
    <w:p>
      <w:r>
        <w:rPr>
          <w:rFonts w:ascii="NPW Common" w:hAnsi="NPW Common" w:eastAsia="NPW Common" w:cs="NPW Common"/>
          <w:b w:val="0"/>
        </w:rPr>
        <w:t>Students write a provisional update and name one remaining access question. Exit: Which exact detail changed your interpretation?</w:t>
      </w:r>
    </w:p>
    <w:p>
      <w:pPr>
        <w:pStyle w:val="Heading2"/>
      </w:pPr>
      <w:r>
        <w:rPr>
          <w:rFonts w:ascii="NPW Common" w:hAnsi="NPW Common" w:eastAsia="NPW Common" w:cs="NPW Common"/>
        </w:rPr>
        <w:t>Check for understanding</w:t>
      </w:r>
    </w:p>
    <w:p>
      <w:r>
        <w:rPr>
          <w:rFonts w:ascii="NPW Common" w:hAnsi="NPW Common" w:eastAsia="NPW Common" w:cs="NPW Common"/>
          <w:b w:val="0"/>
        </w:rPr>
        <w:t>A student identifies the broken side-door reader, keeps the screening separate from the entrance change, and names an unresolved access need.</w:t>
      </w:r>
    </w:p>
    <w:p>
      <w:pPr>
        <w:pStyle w:val="Heading2"/>
      </w:pPr>
      <w:r>
        <w:rPr>
          <w:rFonts w:ascii="NPW Common" w:hAnsi="NPW Common" w:eastAsia="NPW Common" w:cs="NPW Common"/>
        </w:rPr>
        <w:t>Support for this workshop</w:t>
      </w:r>
    </w:p>
    <w:p>
      <w:r>
        <w:rPr>
          <w:rFonts w:ascii="NPW Common" w:hAnsi="NPW Common" w:eastAsia="NPW Common" w:cs="NPW Common"/>
          <w:b w:val="0"/>
        </w:rPr>
        <w:t>Give students the three documents on separate pages. Read the transcript aloud. Use “The post claims __. The original says __. We still need __.”</w:t>
      </w:r>
    </w:p>
    <w:p>
      <w:r>
        <w:rPr>
          <w:rFonts w:ascii="NPW Common" w:hAnsi="NPW Common" w:eastAsia="NPW Common" w:cs="NPW Common"/>
        </w:rPr>
        <w:br w:type="page"/>
      </w:r>
    </w:p>
    <w:p>
      <w:pPr>
        <w:pStyle w:val="Heading1"/>
      </w:pPr>
      <w:r>
        <w:rPr>
          <w:rFonts w:ascii="NPW Common" w:hAnsi="NPW Common" w:eastAsia="NPW Common" w:cs="NPW Common"/>
        </w:rPr>
        <w:t>Workshop 2 The update people need</w:t>
      </w:r>
    </w:p>
    <w:p>
      <w:r>
        <w:rPr>
          <w:rFonts w:ascii="NPW Common" w:hAnsi="NPW Common" w:eastAsia="NPW Common" w:cs="NPW Common"/>
          <w:b/>
        </w:rPr>
        <w:t>Write a correction with useful event information and an honest limit.</w:t>
      </w:r>
    </w:p>
    <w:p>
      <w:pPr>
        <w:pStyle w:val="Heading2"/>
      </w:pPr>
      <w:r>
        <w:rPr>
          <w:rFonts w:ascii="NPW Common" w:hAnsi="NPW Common" w:eastAsia="NPW Common" w:cs="NPW Common"/>
        </w:rPr>
        <w:t>5 minutes Recall the evidence</w:t>
      </w:r>
    </w:p>
    <w:p>
      <w:r>
        <w:rPr>
          <w:rFonts w:ascii="NPW Common" w:hAnsi="NPW Common" w:eastAsia="NPW Common" w:cs="NPW Common"/>
          <w:b w:val="0"/>
        </w:rPr>
        <w:t>Pairs reconstruct the story without reopening the screenshot. Compare against the full update.</w:t>
      </w:r>
    </w:p>
    <w:p>
      <w:pPr>
        <w:pStyle w:val="Heading2"/>
      </w:pPr>
      <w:r>
        <w:rPr>
          <w:rFonts w:ascii="NPW Common" w:hAnsi="NPW Common" w:eastAsia="NPW Common" w:cs="NPW Common"/>
        </w:rPr>
        <w:t>10 minutes Try two choices</w:t>
      </w:r>
    </w:p>
    <w:p>
      <w:r>
        <w:rPr>
          <w:rFonts w:ascii="NPW Common" w:hAnsi="NPW Common" w:eastAsia="NPW Common" w:cs="NPW Common"/>
          <w:b w:val="0"/>
        </w:rPr>
        <w:t>Use both decisions in the case. Ask what each message could make a reader do before leaving home.</w:t>
      </w:r>
    </w:p>
    <w:p>
      <w:pPr>
        <w:pStyle w:val="Heading2"/>
      </w:pPr>
      <w:r>
        <w:rPr>
          <w:rFonts w:ascii="NPW Common" w:hAnsi="NPW Common" w:eastAsia="NPW Common" w:cs="NPW Common"/>
        </w:rPr>
        <w:t>15 minutes Draft and test</w:t>
      </w:r>
    </w:p>
    <w:p>
      <w:r>
        <w:rPr>
          <w:rFonts w:ascii="NPW Common" w:hAnsi="NPW Common" w:eastAsia="NPW Common" w:cs="NPW Common"/>
          <w:b w:val="0"/>
        </w:rPr>
        <w:t>Write a 50–80 word update. Another pair plays a visitor: Where do I go? When? What if I need support?</w:t>
      </w:r>
    </w:p>
    <w:p>
      <w:pPr>
        <w:pStyle w:val="Heading2"/>
      </w:pPr>
      <w:r>
        <w:rPr>
          <w:rFonts w:ascii="NPW Common" w:hAnsi="NPW Common" w:eastAsia="NPW Common" w:cs="NPW Common"/>
        </w:rPr>
        <w:t>10 minutes Revise with a reason</w:t>
      </w:r>
    </w:p>
    <w:p>
      <w:r>
        <w:rPr>
          <w:rFonts w:ascii="NPW Common" w:hAnsi="NPW Common" w:eastAsia="NPW Common" w:cs="NPW Common"/>
          <w:b w:val="0"/>
        </w:rPr>
        <w:t>Add a source and replace any claim about the poster’s motive. Students mark one edit and explain it.</w:t>
      </w:r>
    </w:p>
    <w:p>
      <w:pPr>
        <w:pStyle w:val="Heading2"/>
      </w:pPr>
      <w:r>
        <w:rPr>
          <w:rFonts w:ascii="NPW Common" w:hAnsi="NPW Common" w:eastAsia="NPW Common" w:cs="NPW Common"/>
        </w:rPr>
        <w:t>5 minutes Close the loop</w:t>
      </w:r>
    </w:p>
    <w:p>
      <w:r>
        <w:rPr>
          <w:rFonts w:ascii="NPW Common" w:hAnsi="NPW Common" w:eastAsia="NPW Common" w:cs="NPW Common"/>
          <w:b w:val="0"/>
        </w:rPr>
        <w:t>Choose a private action: save the original, ask the coordinator or share the corrected draft with a teacher.</w:t>
      </w:r>
    </w:p>
    <w:p>
      <w:pPr>
        <w:pStyle w:val="Heading2"/>
      </w:pPr>
      <w:r>
        <w:rPr>
          <w:rFonts w:ascii="NPW Common" w:hAnsi="NPW Common" w:eastAsia="NPW Common" w:cs="NPW Common"/>
        </w:rPr>
        <w:t>Check for understanding</w:t>
      </w:r>
    </w:p>
    <w:p>
      <w:r>
        <w:rPr>
          <w:rFonts w:ascii="NPW Common" w:hAnsi="NPW Common" w:eastAsia="NPW Common" w:cs="NPW Common"/>
          <w:b w:val="0"/>
        </w:rPr>
        <w:t>The final update includes a confirmed event, entrance change, supporting source, useful next step and no invented motive.</w:t>
      </w:r>
    </w:p>
    <w:p>
      <w:pPr>
        <w:pStyle w:val="Heading2"/>
      </w:pPr>
      <w:r>
        <w:rPr>
          <w:rFonts w:ascii="NPW Common" w:hAnsi="NPW Common" w:eastAsia="NPW Common" w:cs="NPW Common"/>
        </w:rPr>
        <w:t>Support for this workshop</w:t>
      </w:r>
    </w:p>
    <w:p>
      <w:r>
        <w:rPr>
          <w:rFonts w:ascii="NPW Common" w:hAnsi="NPW Common" w:eastAsia="NPW Common" w:cs="NPW Common"/>
          <w:b w:val="0"/>
        </w:rPr>
        <w:t>Compare how two different captions frame the same clip. Explain why a correction should reach the original audience. Add a source-authority check.</w:t>
      </w:r>
    </w:p>
    <w:p>
      <w:r>
        <w:rPr>
          <w:rFonts w:ascii="NPW Common" w:hAnsi="NPW Common" w:eastAsia="NPW Common" w:cs="NPW Common"/>
        </w:rPr>
        <w:br w:type="page"/>
      </w:r>
    </w:p>
    <w:p>
      <w:pPr>
        <w:pStyle w:val="Heading1"/>
      </w:pPr>
      <w:r>
        <w:rPr>
          <w:rFonts w:ascii="NPW Common" w:hAnsi="NPW Common" w:eastAsia="NPW Common" w:cs="NPW Common"/>
        </w:rPr>
        <w:t>Case 1 Worked response and feedback</w:t>
      </w:r>
    </w:p>
    <w:p>
      <w:pPr>
        <w:pStyle w:val="Heading2"/>
      </w:pPr>
      <w:r>
        <w:rPr>
          <w:rFonts w:ascii="NPW Common" w:hAnsi="NPW Common" w:eastAsia="NPW Common" w:cs="NPW Common"/>
        </w:rPr>
        <w:t>One possible response</w:t>
      </w:r>
    </w:p>
    <w:p>
      <w:r>
        <w:rPr>
          <w:rFonts w:ascii="NPW Common" w:hAnsi="NPW Common" w:eastAsia="NPW Common" w:cs="NPW Common"/>
          <w:b w:val="0"/>
        </w:rPr>
        <w:t>Tonight’s screening is still on, 6–9 p.m. The clip was about the broken side-door reader. Use the staffed, step-free front entrance. The booking email and full update confirm this. Need help arriving? Contact the coordinator before you travel.</w:t>
      </w:r>
    </w:p>
    <w:p>
      <w:pPr>
        <w:pStyle w:val="Heading2"/>
      </w:pPr>
      <w:r>
        <w:rPr>
          <w:rFonts w:ascii="NPW Common" w:hAnsi="NPW Common" w:eastAsia="NPW Common" w:cs="NPW Common"/>
        </w:rPr>
        <w:t>Why it holds up</w:t>
      </w:r>
    </w:p>
    <w:p>
      <w:r>
        <w:rPr>
          <w:rFonts w:ascii="NPW Common" w:hAnsi="NPW Common" w:eastAsia="NPW Common" w:cs="NPW Common"/>
          <w:b w:val="0"/>
        </w:rPr>
        <w:t>Choice 1B names uncertainty while checking. Choice 2A corrects the claim and preserves the entrance change. Other choices overstate, erase context or invent intent.</w:t>
      </w:r>
    </w:p>
    <w:p>
      <w:pPr>
        <w:pStyle w:val="Heading2"/>
      </w:pPr>
      <w:r>
        <w:rPr>
          <w:rFonts w:ascii="NPW Common" w:hAnsi="NPW Common" w:eastAsia="NPW Common" w:cs="NPW Common"/>
        </w:rPr>
        <w:t>Feedback for a revision</w:t>
      </w:r>
    </w:p>
    <w:p>
      <w:r>
        <w:rPr>
          <w:rFonts w:ascii="NPW Common" w:hAnsi="NPW Common" w:eastAsia="NPW Common" w:cs="NPW Common"/>
          <w:b w:val="0"/>
        </w:rPr>
        <w:t>Ask the learner to underline the claim, name the exact record detail and explain the connection. Then ask what remains uncertain and what another person would need to know. A different recommendation can meet the goal when it is supported.</w:t>
      </w:r>
    </w:p>
    <w:p>
      <w:r>
        <w:rPr>
          <w:rFonts w:ascii="NPW Common" w:hAnsi="NPW Common" w:eastAsia="NPW Common" w:cs="NPW Common"/>
          <w:b w:val="0"/>
        </w:rPr>
        <w:t>The final update includes a confirmed event, entrance change, supporting source, useful next step and no invented motive.</w:t>
      </w:r>
    </w:p>
    <w:p>
      <w:pPr>
        <w:pStyle w:val="Heading2"/>
      </w:pPr>
      <w:r>
        <w:rPr>
          <w:rFonts w:ascii="NPW Common" w:hAnsi="NPW Common" w:eastAsia="NPW Common" w:cs="NPW Common"/>
        </w:rPr>
        <w:t>Grade and course variations</w:t>
      </w:r>
    </w:p>
    <w:p>
      <w:r>
        <w:rPr>
          <w:rFonts w:ascii="NPW Common" w:hAnsi="NPW Common" w:eastAsia="NPW Common" w:cs="NPW Common"/>
          <w:b w:val="0"/>
        </w:rPr>
        <w:t>Grades 6-8: Give students the three documents on separate pages. Read the transcript aloud. Use “The post claims __. The original says __. We still need __.”</w:t>
      </w:r>
    </w:p>
    <w:p>
      <w:r>
        <w:rPr>
          <w:rFonts w:ascii="NPW Common" w:hAnsi="NPW Common" w:eastAsia="NPW Common" w:cs="NPW Common"/>
          <w:b w:val="0"/>
        </w:rPr>
        <w:t>Grades 9-12: Compare how two different captions frame the same clip. Explain why a correction should reach the original audience. Add a source-authority check.</w:t>
      </w:r>
    </w:p>
    <w:p>
      <w:r>
        <w:rPr>
          <w:rFonts w:ascii="NPW Common" w:hAnsi="NPW Common" w:eastAsia="NPW Common" w:cs="NPW Common"/>
          <w:b w:val="0"/>
        </w:rPr>
        <w:t>Pre-AP English 1 starts with close annotation and one analytical paragraph. English 2 extends to source synthesis and a revision memo. AP English Language adds a defensible thesis, commentary, counterargument and purposeful audience choices. MYP targets analysing, organizing, producing text and using language. DP focuses on guided nonliterary textual analysis. Honors adds independent corroboration and a condition that could change the conclusion.</w:t>
      </w:r>
    </w:p>
    <w:p>
      <w:r>
        <w:rPr>
          <w:rFonts w:ascii="NPW Common" w:hAnsi="NPW Common" w:eastAsia="NPW Common" w:cs="NPW Common"/>
          <w:b w:val="0"/>
        </w:rPr>
        <w:t>Use the separate crosswalk for exact grade codes and case-specific course tasks. These are selected practice targets, not program endorsement or complete-course alignment.</w:t>
      </w:r>
    </w:p>
    <w:p>
      <w:r>
        <w:rPr>
          <w:rFonts w:ascii="NPW Common" w:hAnsi="NPW Common" w:eastAsia="NPW Common" w:cs="NPW Common"/>
        </w:rPr>
        <w:br w:type="page"/>
      </w:r>
    </w:p>
    <w:p>
      <w:pPr>
        <w:pStyle w:val="Heading1"/>
      </w:pPr>
      <w:r>
        <w:rPr>
          <w:rFonts w:ascii="NPW Common" w:hAnsi="NPW Common" w:eastAsia="NPW Common" w:cs="NPW Common"/>
        </w:rPr>
        <w:t>Case 2 Same test. More questions</w:t>
      </w:r>
    </w:p>
    <w:p>
      <w:pPr>
        <w:pStyle w:val="Heading2"/>
      </w:pPr>
      <w:r>
        <w:rPr>
          <w:rFonts w:ascii="NPW Common" w:hAnsi="NPW Common" w:eastAsia="NPW Common" w:cs="NPW Common"/>
        </w:rPr>
        <w:t>Learning goal</w:t>
      </w:r>
    </w:p>
    <w:p>
      <w:r>
        <w:rPr>
          <w:rFonts w:ascii="NPW Common" w:hAnsi="NPW Common" w:eastAsia="NPW Common" w:cs="NPW Common"/>
          <w:b w:val="0"/>
        </w:rPr>
        <w:t>Compare observations with a learning goal and ask for support without diagnosing a classmate.</w:t>
      </w:r>
    </w:p>
    <w:p>
      <w:pPr>
        <w:pStyle w:val="Heading2"/>
      </w:pPr>
      <w:r>
        <w:rPr>
          <w:rFonts w:ascii="NPW Common" w:hAnsi="NPW Common" w:eastAsia="NPW Common" w:cs="NPW Common"/>
        </w:rPr>
        <w:t>The situation</w:t>
      </w:r>
    </w:p>
    <w:p>
      <w:r>
        <w:rPr>
          <w:rFonts w:ascii="NPW Common" w:hAnsi="NPW Common" w:eastAsia="NPW Common" w:cs="NPW Common"/>
          <w:b w:val="0"/>
        </w:rPr>
        <w:t>Anika, 16, and Dec, 17, are studying before theatre rehearsal. They are building a light circuit for a school set. Dec explains the route out loud, then loses track of the crowded written instructions. Anika thinks they should just run the same practice test again.</w:t>
      </w:r>
    </w:p>
    <w:p>
      <w:r>
        <w:rPr>
          <w:rFonts w:ascii="NPW Common" w:hAnsi="NPW Common" w:eastAsia="NPW Common" w:cs="NPW Common"/>
          <w:b w:val="0"/>
        </w:rPr>
        <w:t>Mari, 19, is on her bookshop break. She recognizes the frustration, but she does not assume Dec’s difficulty is the same as hers. He wants help with this task, not a diagnosis from the group chat. Pauta opens the assignment so you can work out what it actually measures.</w:t>
      </w:r>
    </w:p>
    <w:p>
      <w:pPr>
        <w:pStyle w:val="Heading2"/>
      </w:pPr>
      <w:r>
        <w:rPr>
          <w:rFonts w:ascii="NPW Common" w:hAnsi="NPW Common" w:eastAsia="NPW Common" w:cs="NPW Common"/>
        </w:rPr>
        <w:t>Issue, rule, application, conclusion</w:t>
      </w:r>
    </w:p>
    <w:p>
      <w:r>
        <w:rPr>
          <w:rFonts w:ascii="NPW Common" w:hAnsi="NPW Common" w:eastAsia="NPW Common" w:cs="NPW Common"/>
          <w:b w:val="0"/>
        </w:rPr>
        <w:t>Issue. Are we checking circuit understanding, reading speed, or both?</w:t>
      </w:r>
    </w:p>
    <w:p>
      <w:r>
        <w:rPr>
          <w:rFonts w:ascii="NPW Common" w:hAnsi="NPW Common" w:eastAsia="NPW Common" w:cs="NPW Common"/>
          <w:b w:val="0"/>
        </w:rPr>
        <w:t>Rule. Separate the task goal from IDEA rules for a formal evaluation.</w:t>
      </w:r>
    </w:p>
    <w:p>
      <w:r>
        <w:rPr>
          <w:rFonts w:ascii="NPW Common" w:hAnsi="NPW Common" w:eastAsia="NPW Common" w:cs="NPW Common"/>
          <w:b w:val="0"/>
        </w:rPr>
        <w:t>Application. Compare Dec’s spoken explanation with his written attempt. Name what the mismatch leaves unresolved.</w:t>
      </w:r>
    </w:p>
    <w:p>
      <w:r>
        <w:rPr>
          <w:rFonts w:ascii="NPW Common" w:hAnsi="NPW Common" w:eastAsia="NPW Common" w:cs="NPW Common"/>
          <w:b w:val="0"/>
        </w:rPr>
        <w:t>Conclusion. Propose a demonstration of the same goal and one question to ask next.</w:t>
      </w:r>
    </w:p>
    <w:p>
      <w:r>
        <w:rPr>
          <w:rFonts w:ascii="NPW Common" w:hAnsi="NPW Common" w:eastAsia="NPW Common" w:cs="NPW Common"/>
          <w:b w:val="0"/>
        </w:rPr>
        <w:t>Misunderstanding to watch for: A failed quiz does not prove a disability, guarantee an IEP or establish a legal violation. Friends can support a request without diagnosing anyone.</w:t>
      </w:r>
    </w:p>
    <w:p>
      <w:r>
        <w:rPr>
          <w:rFonts w:ascii="NPW Common" w:hAnsi="NPW Common" w:eastAsia="NPW Common" w:cs="NPW Common"/>
          <w:b/>
        </w:rPr>
        <w:t xml:space="preserve">IRAC, American Bar Association  </w:t>
      </w:r>
      <w:hyperlink r:id="rId13">
        <w:r>
          <w:rPr>
            <w:rFonts w:ascii="NPW Common" w:hAnsi="NPW Common" w:eastAsia="NPW Common" w:cs="NPW Common"/>
            <w:color w:val="234EDB"/>
          </w:rPr>
          <w:t>Open source</w:t>
        </w:r>
      </w:hyperlink>
    </w:p>
    <w:p>
      <w:r>
        <w:rPr>
          <w:rFonts w:ascii="NPW Common" w:hAnsi="NPW Common" w:eastAsia="NPW Common" w:cs="NPW Common"/>
          <w:b/>
        </w:rPr>
        <w:t xml:space="preserve">IDEA evaluation rules  </w:t>
      </w:r>
      <w:hyperlink r:id="rId14">
        <w:r>
          <w:rPr>
            <w:rFonts w:ascii="NPW Common" w:hAnsi="NPW Common" w:eastAsia="NPW Common" w:cs="NPW Common"/>
            <w:color w:val="234EDB"/>
          </w:rPr>
          <w:t>Open source</w:t>
        </w:r>
      </w:hyperlink>
    </w:p>
    <w:p>
      <w:r>
        <w:rPr>
          <w:rFonts w:ascii="NPW Common" w:hAnsi="NPW Common" w:eastAsia="NPW Common" w:cs="NPW Common"/>
        </w:rPr>
        <w:br w:type="page"/>
      </w:r>
    </w:p>
    <w:p>
      <w:pPr>
        <w:pStyle w:val="Heading1"/>
      </w:pPr>
      <w:r>
        <w:rPr>
          <w:rFonts w:ascii="NPW Common" w:hAnsi="NPW Common" w:eastAsia="NPW Common" w:cs="NPW Common"/>
        </w:rPr>
        <w:t>Workshop 3 The score and the story</w:t>
      </w:r>
    </w:p>
    <w:p>
      <w:r>
        <w:rPr>
          <w:rFonts w:ascii="NPW Common" w:hAnsi="NPW Common" w:eastAsia="NPW Common" w:cs="NPW Common"/>
          <w:b/>
        </w:rPr>
        <w:t>Identify a possible format barrier while keeping the learning goal clear.</w:t>
      </w:r>
    </w:p>
    <w:p>
      <w:pPr>
        <w:pStyle w:val="Heading2"/>
      </w:pPr>
      <w:r>
        <w:rPr>
          <w:rFonts w:ascii="NPW Common" w:hAnsi="NPW Common" w:eastAsia="NPW Common" w:cs="NPW Common"/>
        </w:rPr>
        <w:t>5 minutes Meet the task</w:t>
      </w:r>
    </w:p>
    <w:p>
      <w:r>
        <w:rPr>
          <w:rFonts w:ascii="NPW Common" w:hAnsi="NPW Common" w:eastAsia="NPW Common" w:cs="NPW Common"/>
          <w:b w:val="0"/>
        </w:rPr>
        <w:t>Read Dec’s situation. Students name what the circuit activity is supposed to show. No one shares their own grades or support plans.</w:t>
      </w:r>
    </w:p>
    <w:p>
      <w:pPr>
        <w:pStyle w:val="Heading2"/>
      </w:pPr>
      <w:r>
        <w:rPr>
          <w:rFonts w:ascii="NPW Common" w:hAnsi="NPW Common" w:eastAsia="NPW Common" w:cs="NPW Common"/>
        </w:rPr>
        <w:t>10 minutes Compare observations</w:t>
      </w:r>
    </w:p>
    <w:p>
      <w:r>
        <w:rPr>
          <w:rFonts w:ascii="NPW Common" w:hAnsi="NPW Common" w:eastAsia="NPW Common" w:cs="NPW Common"/>
          <w:b w:val="0"/>
        </w:rPr>
        <w:t>Read A and B. Sort “observed,” “possible explanation” and “not established.”</w:t>
      </w:r>
    </w:p>
    <w:p>
      <w:pPr>
        <w:pStyle w:val="Heading2"/>
      </w:pPr>
      <w:r>
        <w:rPr>
          <w:rFonts w:ascii="NPW Common" w:hAnsi="NPW Common" w:eastAsia="NPW Common" w:cs="NPW Common"/>
        </w:rPr>
        <w:t>10 minutes Ask Dec first</w:t>
      </w:r>
    </w:p>
    <w:p>
      <w:r>
        <w:rPr>
          <w:rFonts w:ascii="NPW Common" w:hAnsi="NPW Common" w:eastAsia="NPW Common" w:cs="NPW Common"/>
          <w:b w:val="0"/>
        </w:rPr>
        <w:t>Pairs write one respectful question about the task. A student can respond in writing instead of role-play.</w:t>
      </w:r>
    </w:p>
    <w:p>
      <w:pPr>
        <w:pStyle w:val="Heading2"/>
      </w:pPr>
      <w:r>
        <w:rPr>
          <w:rFonts w:ascii="NPW Common" w:hAnsi="NPW Common" w:eastAsia="NPW Common" w:cs="NPW Common"/>
        </w:rPr>
        <w:t>15 minutes Change one feature</w:t>
      </w:r>
    </w:p>
    <w:p>
      <w:r>
        <w:rPr>
          <w:rFonts w:ascii="NPW Common" w:hAnsi="NPW Common" w:eastAsia="NPW Common" w:cs="NPW Common"/>
          <w:b w:val="0"/>
        </w:rPr>
        <w:t>Sketch a clearer practice sheet: larger diagram, numbered instructions or oral explanation. Explain how the goal stays the same. No live electrical work is needed.</w:t>
      </w:r>
    </w:p>
    <w:p>
      <w:pPr>
        <w:pStyle w:val="Heading2"/>
      </w:pPr>
      <w:r>
        <w:rPr>
          <w:rFonts w:ascii="NPW Common" w:hAnsi="NPW Common" w:eastAsia="NPW Common" w:cs="NPW Common"/>
        </w:rPr>
        <w:t>5 minutes Exit with a limit</w:t>
      </w:r>
    </w:p>
    <w:p>
      <w:r>
        <w:rPr>
          <w:rFonts w:ascii="NPW Common" w:hAnsi="NPW Common" w:eastAsia="NPW Common" w:cs="NPW Common"/>
          <w:b w:val="0"/>
        </w:rPr>
        <w:t>Complete: “This suggests __. It does not prove __.”</w:t>
      </w:r>
    </w:p>
    <w:p>
      <w:pPr>
        <w:pStyle w:val="Heading2"/>
      </w:pPr>
      <w:r>
        <w:rPr>
          <w:rFonts w:ascii="NPW Common" w:hAnsi="NPW Common" w:eastAsia="NPW Common" w:cs="NPW Common"/>
        </w:rPr>
        <w:t>Check for understanding</w:t>
      </w:r>
    </w:p>
    <w:p>
      <w:r>
        <w:rPr>
          <w:rFonts w:ascii="NPW Common" w:hAnsi="NPW Common" w:eastAsia="NPW Common" w:cs="NPW Common"/>
          <w:b w:val="0"/>
        </w:rPr>
        <w:t>The learner connects a possible layout barrier to an observation without assigning Dec a disability or deciding eligibility.</w:t>
      </w:r>
    </w:p>
    <w:p>
      <w:pPr>
        <w:pStyle w:val="Heading2"/>
      </w:pPr>
      <w:r>
        <w:rPr>
          <w:rFonts w:ascii="NPW Common" w:hAnsi="NPW Common" w:eastAsia="NPW Common" w:cs="NPW Common"/>
        </w:rPr>
        <w:t>Support for this workshop</w:t>
      </w:r>
    </w:p>
    <w:p>
      <w:r>
        <w:rPr>
          <w:rFonts w:ascii="NPW Common" w:hAnsi="NPW Common" w:eastAsia="NPW Common" w:cs="NPW Common"/>
          <w:b w:val="0"/>
        </w:rPr>
        <w:t>Provide “I noticed __” and “Could we talk about __?” stems. Read legal vocabulary aloud. Use a large circuit diagram or a paper sketch rather than timed reading.</w:t>
      </w:r>
    </w:p>
    <w:p>
      <w:r>
        <w:rPr>
          <w:rFonts w:ascii="NPW Common" w:hAnsi="NPW Common" w:eastAsia="NPW Common" w:cs="NPW Common"/>
        </w:rPr>
        <w:br w:type="page"/>
      </w:r>
    </w:p>
    <w:p>
      <w:pPr>
        <w:pStyle w:val="Heading1"/>
      </w:pPr>
      <w:r>
        <w:rPr>
          <w:rFonts w:ascii="NPW Common" w:hAnsi="NPW Common" w:eastAsia="NPW Common" w:cs="NPW Common"/>
        </w:rPr>
        <w:t>Workshop 4 A request that helps</w:t>
      </w:r>
    </w:p>
    <w:p>
      <w:r>
        <w:rPr>
          <w:rFonts w:ascii="NPW Common" w:hAnsi="NPW Common" w:eastAsia="NPW Common" w:cs="NPW Common"/>
          <w:b/>
        </w:rPr>
        <w:t>Distinguish a classroom support question from a formal disability evaluation rule.</w:t>
      </w:r>
    </w:p>
    <w:p>
      <w:pPr>
        <w:pStyle w:val="Heading2"/>
      </w:pPr>
      <w:r>
        <w:rPr>
          <w:rFonts w:ascii="NPW Common" w:hAnsi="NPW Common" w:eastAsia="NPW Common" w:cs="NPW Common"/>
        </w:rPr>
        <w:t>5 minutes Revisit the goal</w:t>
      </w:r>
    </w:p>
    <w:p>
      <w:r>
        <w:rPr>
          <w:rFonts w:ascii="NPW Common" w:hAnsi="NPW Common" w:eastAsia="NPW Common" w:cs="NPW Common"/>
          <w:b w:val="0"/>
        </w:rPr>
        <w:t>Compare two proposed practice changes and ask whether each still shows circuit reasoning.</w:t>
      </w:r>
    </w:p>
    <w:p>
      <w:pPr>
        <w:pStyle w:val="Heading2"/>
      </w:pPr>
      <w:r>
        <w:rPr>
          <w:rFonts w:ascii="NPW Common" w:hAnsi="NPW Common" w:eastAsia="NPW Common" w:cs="NPW Common"/>
        </w:rPr>
        <w:t>12 minutes Read the legal scope</w:t>
      </w:r>
    </w:p>
    <w:p>
      <w:r>
        <w:rPr>
          <w:rFonts w:ascii="NPW Common" w:hAnsi="NPW Common" w:eastAsia="NPW Common" w:cs="NPW Common"/>
          <w:b w:val="0"/>
        </w:rPr>
        <w:t>Read evidence C and the federal source excerpt summary. Explain that IDEA’s varied-measures rule governs its evaluation process, not every classroom quiz.</w:t>
      </w:r>
    </w:p>
    <w:p>
      <w:pPr>
        <w:pStyle w:val="Heading2"/>
      </w:pPr>
      <w:r>
        <w:rPr>
          <w:rFonts w:ascii="NPW Common" w:hAnsi="NPW Common" w:eastAsia="NPW Common" w:cs="NPW Common"/>
        </w:rPr>
        <w:t>8 minutes Try the choices</w:t>
      </w:r>
    </w:p>
    <w:p>
      <w:r>
        <w:rPr>
          <w:rFonts w:ascii="NPW Common" w:hAnsi="NPW Common" w:eastAsia="NPW Common" w:cs="NPW Common"/>
          <w:b w:val="0"/>
        </w:rPr>
        <w:t>Discuss the teacher messages. Pauta asks which claims are supported and which require another process.</w:t>
      </w:r>
    </w:p>
    <w:p>
      <w:pPr>
        <w:pStyle w:val="Heading2"/>
      </w:pPr>
      <w:r>
        <w:rPr>
          <w:rFonts w:ascii="NPW Common" w:hAnsi="NPW Common" w:eastAsia="NPW Common" w:cs="NPW Common"/>
        </w:rPr>
        <w:t>15 minutes Prepare the request</w:t>
      </w:r>
    </w:p>
    <w:p>
      <w:r>
        <w:rPr>
          <w:rFonts w:ascii="NPW Common" w:hAnsi="NPW Common" w:eastAsia="NPW Common" w:cs="NPW Common"/>
          <w:b w:val="0"/>
        </w:rPr>
        <w:t>Draft a 60–100 word message in Dec’s voice with his permission. Include two observations, a question and no private records.</w:t>
      </w:r>
    </w:p>
    <w:p>
      <w:pPr>
        <w:pStyle w:val="Heading2"/>
      </w:pPr>
      <w:r>
        <w:rPr>
          <w:rFonts w:ascii="NPW Common" w:hAnsi="NPW Common" w:eastAsia="NPW Common" w:cs="NPW Common"/>
        </w:rPr>
        <w:t>5 minutes Check the next step</w:t>
      </w:r>
    </w:p>
    <w:p>
      <w:r>
        <w:rPr>
          <w:rFonts w:ascii="NPW Common" w:hAnsi="NPW Common" w:eastAsia="NPW Common" w:cs="NPW Common"/>
          <w:b w:val="0"/>
        </w:rPr>
        <w:t>Name an appropriate school contact and a question to ask. Use a fictional school if preferred.</w:t>
      </w:r>
    </w:p>
    <w:p>
      <w:pPr>
        <w:pStyle w:val="Heading2"/>
      </w:pPr>
      <w:r>
        <w:rPr>
          <w:rFonts w:ascii="NPW Common" w:hAnsi="NPW Common" w:eastAsia="NPW Common" w:cs="NPW Common"/>
        </w:rPr>
        <w:t>Check for understanding</w:t>
      </w:r>
    </w:p>
    <w:p>
      <w:r>
        <w:rPr>
          <w:rFonts w:ascii="NPW Common" w:hAnsi="NPW Common" w:eastAsia="NPW Common" w:cs="NPW Common"/>
          <w:b w:val="0"/>
        </w:rPr>
        <w:t>The response describes observations, requests a conversation and accurately limits the federal rule to IDEA evaluations.</w:t>
      </w:r>
    </w:p>
    <w:p>
      <w:pPr>
        <w:pStyle w:val="Heading2"/>
      </w:pPr>
      <w:r>
        <w:rPr>
          <w:rFonts w:ascii="NPW Common" w:hAnsi="NPW Common" w:eastAsia="NPW Common" w:cs="NPW Common"/>
        </w:rPr>
        <w:t>Support for this workshop</w:t>
      </w:r>
    </w:p>
    <w:p>
      <w:r>
        <w:rPr>
          <w:rFonts w:ascii="NPW Common" w:hAnsi="NPW Common" w:eastAsia="NPW Common" w:cs="NPW Common"/>
          <w:b w:val="0"/>
        </w:rPr>
        <w:t>Distinguish classroom practice, IDEA evaluation, eligibility and an IEP. Explain why one observation may justify a question but does not settle any of those steps.</w:t>
      </w:r>
    </w:p>
    <w:p>
      <w:r>
        <w:rPr>
          <w:rFonts w:ascii="NPW Common" w:hAnsi="NPW Common" w:eastAsia="NPW Common" w:cs="NPW Common"/>
        </w:rPr>
        <w:br w:type="page"/>
      </w:r>
    </w:p>
    <w:p>
      <w:pPr>
        <w:pStyle w:val="Heading1"/>
      </w:pPr>
      <w:r>
        <w:rPr>
          <w:rFonts w:ascii="NPW Common" w:hAnsi="NPW Common" w:eastAsia="NPW Common" w:cs="NPW Common"/>
        </w:rPr>
        <w:t>Case 2 Worked response and feedback</w:t>
      </w:r>
    </w:p>
    <w:p>
      <w:pPr>
        <w:pStyle w:val="Heading2"/>
      </w:pPr>
      <w:r>
        <w:rPr>
          <w:rFonts w:ascii="NPW Common" w:hAnsi="NPW Common" w:eastAsia="NPW Common" w:cs="NPW Common"/>
        </w:rPr>
        <w:t>One possible response</w:t>
      </w:r>
    </w:p>
    <w:p>
      <w:r>
        <w:rPr>
          <w:rFonts w:ascii="NPW Common" w:hAnsi="NPW Common" w:eastAsia="NPW Common" w:cs="NPW Common"/>
          <w:b w:val="0"/>
        </w:rPr>
        <w:t>We were practicing how circuits work. I could trace the route aloud, but lost my place in the written layout. Could we discuss how the task measures that goal and what support options are available? I can bring both examples.</w:t>
      </w:r>
    </w:p>
    <w:p>
      <w:pPr>
        <w:pStyle w:val="Heading2"/>
      </w:pPr>
      <w:r>
        <w:rPr>
          <w:rFonts w:ascii="NPW Common" w:hAnsi="NPW Common" w:eastAsia="NPW Common" w:cs="NPW Common"/>
        </w:rPr>
        <w:t>Why it holds up</w:t>
      </w:r>
    </w:p>
    <w:p>
      <w:r>
        <w:rPr>
          <w:rFonts w:ascii="NPW Common" w:hAnsi="NPW Common" w:eastAsia="NPW Common" w:cs="NPW Common"/>
          <w:b w:val="0"/>
        </w:rPr>
        <w:t>Choice 1B gathers another observation while preserving the goal. Choice 2C makes a specific, permission-based request. A support conversation does not decide legal eligibility.</w:t>
      </w:r>
    </w:p>
    <w:p>
      <w:pPr>
        <w:pStyle w:val="Heading2"/>
      </w:pPr>
      <w:r>
        <w:rPr>
          <w:rFonts w:ascii="NPW Common" w:hAnsi="NPW Common" w:eastAsia="NPW Common" w:cs="NPW Common"/>
        </w:rPr>
        <w:t>Feedback for a revision</w:t>
      </w:r>
    </w:p>
    <w:p>
      <w:r>
        <w:rPr>
          <w:rFonts w:ascii="NPW Common" w:hAnsi="NPW Common" w:eastAsia="NPW Common" w:cs="NPW Common"/>
          <w:b w:val="0"/>
        </w:rPr>
        <w:t>Ask the learner to underline the claim, name the exact record detail and explain the connection. Then ask what remains uncertain and what another person would need to know. A different recommendation can meet the goal when it is supported.</w:t>
      </w:r>
    </w:p>
    <w:p>
      <w:r>
        <w:rPr>
          <w:rFonts w:ascii="NPW Common" w:hAnsi="NPW Common" w:eastAsia="NPW Common" w:cs="NPW Common"/>
          <w:b w:val="0"/>
        </w:rPr>
        <w:t>The response describes observations, requests a conversation and accurately limits the federal rule to IDEA evaluations.</w:t>
      </w:r>
    </w:p>
    <w:p>
      <w:pPr>
        <w:pStyle w:val="Heading2"/>
      </w:pPr>
      <w:r>
        <w:rPr>
          <w:rFonts w:ascii="NPW Common" w:hAnsi="NPW Common" w:eastAsia="NPW Common" w:cs="NPW Common"/>
        </w:rPr>
        <w:t>Grade and course variations</w:t>
      </w:r>
    </w:p>
    <w:p>
      <w:r>
        <w:rPr>
          <w:rFonts w:ascii="NPW Common" w:hAnsi="NPW Common" w:eastAsia="NPW Common" w:cs="NPW Common"/>
          <w:b w:val="0"/>
        </w:rPr>
        <w:t>Grades 6-8: Provide “I noticed __” and “Could we talk about __?” stems. Read legal vocabulary aloud. Use a large circuit diagram or a paper sketch rather than timed reading.</w:t>
      </w:r>
    </w:p>
    <w:p>
      <w:r>
        <w:rPr>
          <w:rFonts w:ascii="NPW Common" w:hAnsi="NPW Common" w:eastAsia="NPW Common" w:cs="NPW Common"/>
          <w:b w:val="0"/>
        </w:rPr>
        <w:t>Grades 9-12: Distinguish classroom practice, IDEA evaluation, eligibility and an IEP. Explain why one observation may justify a question but does not settle any of those steps.</w:t>
      </w:r>
    </w:p>
    <w:p>
      <w:r>
        <w:rPr>
          <w:rFonts w:ascii="NPW Common" w:hAnsi="NPW Common" w:eastAsia="NPW Common" w:cs="NPW Common"/>
          <w:b w:val="0"/>
        </w:rPr>
        <w:t>Pre-AP English 1 starts with close annotation and one analytical paragraph. English 2 extends to source synthesis and a revision memo. AP English Language adds a defensible thesis, commentary, counterargument and purposeful audience choices. MYP targets analysing, organizing, producing text and using language. DP focuses on guided nonliterary textual analysis. Honors adds independent corroboration and a condition that could change the conclusion.</w:t>
      </w:r>
    </w:p>
    <w:p>
      <w:r>
        <w:rPr>
          <w:rFonts w:ascii="NPW Common" w:hAnsi="NPW Common" w:eastAsia="NPW Common" w:cs="NPW Common"/>
          <w:b w:val="0"/>
        </w:rPr>
        <w:t>Use the separate crosswalk for exact grade codes and case-specific course tasks. These are selected practice targets, not program endorsement or complete-course alignment.</w:t>
      </w:r>
    </w:p>
    <w:p>
      <w:r>
        <w:rPr>
          <w:rFonts w:ascii="NPW Common" w:hAnsi="NPW Common" w:eastAsia="NPW Common" w:cs="NPW Common"/>
        </w:rPr>
        <w:br w:type="page"/>
      </w:r>
    </w:p>
    <w:p>
      <w:pPr>
        <w:pStyle w:val="Heading1"/>
      </w:pPr>
      <w:r>
        <w:rPr>
          <w:rFonts w:ascii="NPW Common" w:hAnsi="NPW Common" w:eastAsia="NPW Common" w:cs="NPW Common"/>
        </w:rPr>
        <w:t>Case 3 The apology is not the repair</w:t>
      </w:r>
    </w:p>
    <w:p>
      <w:pPr>
        <w:pStyle w:val="Heading2"/>
      </w:pPr>
      <w:r>
        <w:rPr>
          <w:rFonts w:ascii="NPW Common" w:hAnsi="NPW Common" w:eastAsia="NPW Common" w:cs="NPW Common"/>
        </w:rPr>
        <w:t>Learning goal</w:t>
      </w:r>
    </w:p>
    <w:p>
      <w:r>
        <w:rPr>
          <w:rFonts w:ascii="NPW Common" w:hAnsi="NPW Common" w:eastAsia="NPW Common" w:cs="NPW Common"/>
          <w:b w:val="0"/>
        </w:rPr>
        <w:t>Correct an unsupported public claim and propose a repair with a named owner.</w:t>
      </w:r>
    </w:p>
    <w:p>
      <w:pPr>
        <w:pStyle w:val="Heading2"/>
      </w:pPr>
      <w:r>
        <w:rPr>
          <w:rFonts w:ascii="NPW Common" w:hAnsi="NPW Common" w:eastAsia="NPW Common" w:cs="NPW Common"/>
        </w:rPr>
        <w:t>The situation</w:t>
      </w:r>
    </w:p>
    <w:p>
      <w:r>
        <w:rPr>
          <w:rFonts w:ascii="NPW Common" w:hAnsi="NPW Common" w:eastAsia="NPW Common" w:cs="NPW Common"/>
          <w:b w:val="0"/>
        </w:rPr>
        <w:t>Caio, 24, has edited a short recap of Friday’s screening. Gia writes a caption saying younger visitors caused the slow start. It sounds plausible because a few arrived late. Then Jordy checks the event log: the projector was down for twenty minutes.</w:t>
      </w:r>
    </w:p>
    <w:p>
      <w:r>
        <w:rPr>
          <w:rFonts w:ascii="NPW Common" w:hAnsi="NPW Common" w:eastAsia="NPW Common" w:cs="NPW Common"/>
          <w:b w:val="0"/>
        </w:rPr>
        <w:t>Anika messages the group: “We were helping you set up. Why are we the problem in this post?” Gia wants to take responsibility, but her first draft is mostly about how upset she feels. You are helping make the correction useful to the people it affected.</w:t>
      </w:r>
    </w:p>
    <w:p>
      <w:pPr>
        <w:pStyle w:val="Heading2"/>
      </w:pPr>
      <w:r>
        <w:rPr>
          <w:rFonts w:ascii="NPW Common" w:hAnsi="NPW Common" w:eastAsia="NPW Common" w:cs="NPW Common"/>
        </w:rPr>
        <w:t>Research, planning, implementation, evaluation</w:t>
      </w:r>
    </w:p>
    <w:p>
      <w:r>
        <w:rPr>
          <w:rFonts w:ascii="NPW Common" w:hAnsi="NPW Common" w:eastAsia="NPW Common" w:cs="NPW Common"/>
          <w:b w:val="0"/>
        </w:rPr>
        <w:t>Research. Put the recap beside the event log. Ask Anika what the group label changes for her.</w:t>
      </w:r>
    </w:p>
    <w:p>
      <w:r>
        <w:rPr>
          <w:rFonts w:ascii="NPW Common" w:hAnsi="NPW Common" w:eastAsia="NPW Common" w:cs="NPW Common"/>
          <w:b w:val="0"/>
        </w:rPr>
        <w:t>Planning. Name who needs the correction and what they should understand afterward.</w:t>
      </w:r>
    </w:p>
    <w:p>
      <w:r>
        <w:rPr>
          <w:rFonts w:ascii="NPW Common" w:hAnsi="NPW Common" w:eastAsia="NPW Common" w:cs="NPW Common"/>
          <w:b w:val="0"/>
        </w:rPr>
        <w:t>Implementation. Replace the inaccurate claim. State the repair and who will carry it out.</w:t>
      </w:r>
    </w:p>
    <w:p>
      <w:r>
        <w:rPr>
          <w:rFonts w:ascii="NPW Common" w:hAnsi="NPW Common" w:eastAsia="NPW Common" w:cs="NPW Common"/>
          <w:b w:val="0"/>
        </w:rPr>
        <w:t>Evaluation. Ask readers what they now believe caused the delay. Views alone do not show understanding.</w:t>
      </w:r>
    </w:p>
    <w:p>
      <w:r>
        <w:rPr>
          <w:rFonts w:ascii="NPW Common" w:hAnsi="NPW Common" w:eastAsia="NPW Common" w:cs="NPW Common"/>
          <w:b w:val="0"/>
        </w:rPr>
        <w:t>Misunderstanding to watch for: Feeling sorry can be sincere and still leave the record wrong. The person blamed does not owe public reassurance to the person who wrote the claim.</w:t>
      </w:r>
    </w:p>
    <w:p>
      <w:r>
        <w:rPr>
          <w:rFonts w:ascii="NPW Common" w:hAnsi="NPW Common" w:eastAsia="NPW Common" w:cs="NPW Common"/>
          <w:b/>
        </w:rPr>
        <w:t xml:space="preserve">RPIE, Universal Accreditation Board  </w:t>
      </w:r>
      <w:hyperlink r:id="rId15">
        <w:r>
          <w:rPr>
            <w:rFonts w:ascii="NPW Common" w:hAnsi="NPW Common" w:eastAsia="NPW Common" w:cs="NPW Common"/>
            <w:color w:val="234EDB"/>
          </w:rPr>
          <w:t>Open source</w:t>
        </w:r>
      </w:hyperlink>
    </w:p>
    <w:p>
      <w:r>
        <w:rPr>
          <w:rFonts w:ascii="NPW Common" w:hAnsi="NPW Common" w:eastAsia="NPW Common" w:cs="NPW Common"/>
          <w:b/>
        </w:rPr>
        <w:t xml:space="preserve">Sociological perspective, OpenStax  </w:t>
      </w:r>
      <w:hyperlink r:id="rId16">
        <w:r>
          <w:rPr>
            <w:rFonts w:ascii="NPW Common" w:hAnsi="NPW Common" w:eastAsia="NPW Common" w:cs="NPW Common"/>
            <w:color w:val="234EDB"/>
          </w:rPr>
          <w:t>Open source</w:t>
        </w:r>
      </w:hyperlink>
    </w:p>
    <w:p>
      <w:r>
        <w:rPr>
          <w:rFonts w:ascii="NPW Common" w:hAnsi="NPW Common" w:eastAsia="NPW Common" w:cs="NPW Common"/>
        </w:rPr>
        <w:br w:type="page"/>
      </w:r>
    </w:p>
    <w:p>
      <w:pPr>
        <w:pStyle w:val="Heading1"/>
      </w:pPr>
      <w:r>
        <w:rPr>
          <w:rFonts w:ascii="NPW Common" w:hAnsi="NPW Common" w:eastAsia="NPW Common" w:cs="NPW Common"/>
        </w:rPr>
        <w:t>Workshop 5 Who got blamed?</w:t>
      </w:r>
    </w:p>
    <w:p>
      <w:r>
        <w:rPr>
          <w:rFonts w:ascii="NPW Common" w:hAnsi="NPW Common" w:eastAsia="NPW Common" w:cs="NPW Common"/>
          <w:b/>
        </w:rPr>
        <w:t>Use a record to evaluate a public explanation and its effects.</w:t>
      </w:r>
    </w:p>
    <w:p>
      <w:pPr>
        <w:pStyle w:val="Heading2"/>
      </w:pPr>
      <w:r>
        <w:rPr>
          <w:rFonts w:ascii="NPW Common" w:hAnsi="NPW Common" w:eastAsia="NPW Common" w:cs="NPW Common"/>
        </w:rPr>
        <w:t>5 minutes Read the caption</w:t>
      </w:r>
    </w:p>
    <w:p>
      <w:r>
        <w:rPr>
          <w:rFonts w:ascii="NPW Common" w:hAnsi="NPW Common" w:eastAsia="NPW Common" w:cs="NPW Common"/>
          <w:b w:val="0"/>
        </w:rPr>
        <w:t>Students silently note the claim and the group it blames. Keep the discussion about the fictional event.</w:t>
      </w:r>
    </w:p>
    <w:p>
      <w:pPr>
        <w:pStyle w:val="Heading2"/>
      </w:pPr>
      <w:r>
        <w:rPr>
          <w:rFonts w:ascii="NPW Common" w:hAnsi="NPW Common" w:eastAsia="NPW Common" w:cs="NPW Common"/>
        </w:rPr>
        <w:t>10 minutes Compare the record</w:t>
      </w:r>
    </w:p>
    <w:p>
      <w:r>
        <w:rPr>
          <w:rFonts w:ascii="NPW Common" w:hAnsi="NPW Common" w:eastAsia="NPW Common" w:cs="NPW Common"/>
          <w:b w:val="0"/>
        </w:rPr>
        <w:t>Read the setup log. Build a timeline. Which evidence challenges the caption? What does the log leave out?</w:t>
      </w:r>
    </w:p>
    <w:p>
      <w:pPr>
        <w:pStyle w:val="Heading2"/>
      </w:pPr>
      <w:r>
        <w:rPr>
          <w:rFonts w:ascii="NPW Common" w:hAnsi="NPW Common" w:eastAsia="NPW Common" w:cs="NPW Common"/>
        </w:rPr>
        <w:t>10 minutes Hear the response</w:t>
      </w:r>
    </w:p>
    <w:p>
      <w:r>
        <w:rPr>
          <w:rFonts w:ascii="NPW Common" w:hAnsi="NPW Common" w:eastAsia="NPW Common" w:cs="NPW Common"/>
          <w:b w:val="0"/>
        </w:rPr>
        <w:t>Read Anika’s message. Explain how public blame can affect participation without asking anyone to represent a whole group.</w:t>
      </w:r>
    </w:p>
    <w:p>
      <w:pPr>
        <w:pStyle w:val="Heading2"/>
      </w:pPr>
      <w:r>
        <w:rPr>
          <w:rFonts w:ascii="NPW Common" w:hAnsi="NPW Common" w:eastAsia="NPW Common" w:cs="NPW Common"/>
        </w:rPr>
        <w:t>15 minutes Examine the draft</w:t>
      </w:r>
    </w:p>
    <w:p>
      <w:r>
        <w:rPr>
          <w:rFonts w:ascii="NPW Common" w:hAnsi="NPW Common" w:eastAsia="NPW Common" w:cs="NPW Common"/>
          <w:b w:val="0"/>
        </w:rPr>
        <w:t>Mark what Gia’s draft says about intent and what it fails to correct. Try a factual opening sentence.</w:t>
      </w:r>
    </w:p>
    <w:p>
      <w:pPr>
        <w:pStyle w:val="Heading2"/>
      </w:pPr>
      <w:r>
        <w:rPr>
          <w:rFonts w:ascii="NPW Common" w:hAnsi="NPW Common" w:eastAsia="NPW Common" w:cs="NPW Common"/>
        </w:rPr>
        <w:t>5 minutes Exit</w:t>
      </w:r>
    </w:p>
    <w:p>
      <w:r>
        <w:rPr>
          <w:rFonts w:ascii="NPW Common" w:hAnsi="NPW Common" w:eastAsia="NPW Common" w:cs="NPW Common"/>
          <w:b w:val="0"/>
        </w:rPr>
        <w:t>Name one fact to correct and one person whose perspective is still missing.</w:t>
      </w:r>
    </w:p>
    <w:p>
      <w:pPr>
        <w:pStyle w:val="Heading2"/>
      </w:pPr>
      <w:r>
        <w:rPr>
          <w:rFonts w:ascii="NPW Common" w:hAnsi="NPW Common" w:eastAsia="NPW Common" w:cs="NPW Common"/>
        </w:rPr>
        <w:t>Check for understanding</w:t>
      </w:r>
    </w:p>
    <w:p>
      <w:r>
        <w:rPr>
          <w:rFonts w:ascii="NPW Common" w:hAnsi="NPW Common" w:eastAsia="NPW Common" w:cs="NPW Common"/>
          <w:b w:val="0"/>
        </w:rPr>
        <w:t>The student identifies the projector delay and explains why a general statement of good intent fails to correct the cause.</w:t>
      </w:r>
    </w:p>
    <w:p>
      <w:pPr>
        <w:pStyle w:val="Heading2"/>
      </w:pPr>
      <w:r>
        <w:rPr>
          <w:rFonts w:ascii="NPW Common" w:hAnsi="NPW Common" w:eastAsia="NPW Common" w:cs="NPW Common"/>
        </w:rPr>
        <w:t>Support for this workshop</w:t>
      </w:r>
    </w:p>
    <w:p>
      <w:r>
        <w:rPr>
          <w:rFonts w:ascii="NPW Common" w:hAnsi="NPW Common" w:eastAsia="NPW Common" w:cs="NPW Common"/>
          <w:b w:val="0"/>
        </w:rPr>
        <w:t>Use a four-line template: “We said __. The record shows __. We changed __. Next time __ will __.” Let students annotate a provided draft.</w:t>
      </w:r>
    </w:p>
    <w:p>
      <w:r>
        <w:rPr>
          <w:rFonts w:ascii="NPW Common" w:hAnsi="NPW Common" w:eastAsia="NPW Common" w:cs="NPW Common"/>
        </w:rPr>
        <w:br w:type="page"/>
      </w:r>
    </w:p>
    <w:p>
      <w:pPr>
        <w:pStyle w:val="Heading1"/>
      </w:pPr>
      <w:r>
        <w:rPr>
          <w:rFonts w:ascii="NPW Common" w:hAnsi="NPW Common" w:eastAsia="NPW Common" w:cs="NPW Common"/>
        </w:rPr>
        <w:t>Workshop 6 The correction and the follow-through</w:t>
      </w:r>
    </w:p>
    <w:p>
      <w:r>
        <w:rPr>
          <w:rFonts w:ascii="NPW Common" w:hAnsi="NPW Common" w:eastAsia="NPW Common" w:cs="NPW Common"/>
          <w:b/>
        </w:rPr>
        <w:t>Pair accurate communication with a practical change.</w:t>
      </w:r>
    </w:p>
    <w:p>
      <w:pPr>
        <w:pStyle w:val="Heading2"/>
      </w:pPr>
      <w:r>
        <w:rPr>
          <w:rFonts w:ascii="NPW Common" w:hAnsi="NPW Common" w:eastAsia="NPW Common" w:cs="NPW Common"/>
        </w:rPr>
        <w:t>5 minutes Recall the timeline</w:t>
      </w:r>
    </w:p>
    <w:p>
      <w:r>
        <w:rPr>
          <w:rFonts w:ascii="NPW Common" w:hAnsi="NPW Common" w:eastAsia="NPW Common" w:cs="NPW Common"/>
          <w:b w:val="0"/>
        </w:rPr>
        <w:t>Ask what the log proves and what it cannot prove about every attendee’s experience.</w:t>
      </w:r>
    </w:p>
    <w:p>
      <w:pPr>
        <w:pStyle w:val="Heading2"/>
      </w:pPr>
      <w:r>
        <w:rPr>
          <w:rFonts w:ascii="NPW Common" w:hAnsi="NPW Common" w:eastAsia="NPW Common" w:cs="NPW Common"/>
        </w:rPr>
        <w:t>10 minutes Consider the choices</w:t>
      </w:r>
    </w:p>
    <w:p>
      <w:r>
        <w:rPr>
          <w:rFonts w:ascii="NPW Common" w:hAnsi="NPW Common" w:eastAsia="NPW Common" w:cs="NPW Common"/>
          <w:b w:val="0"/>
        </w:rPr>
        <w:t>Compare deletion, a correction and asking Anika for reassurance. Discuss who does the work in each response.</w:t>
      </w:r>
    </w:p>
    <w:p>
      <w:pPr>
        <w:pStyle w:val="Heading2"/>
      </w:pPr>
      <w:r>
        <w:rPr>
          <w:rFonts w:ascii="NPW Common" w:hAnsi="NPW Common" w:eastAsia="NPW Common" w:cs="NPW Common"/>
        </w:rPr>
        <w:t>15 minutes Write the repair</w:t>
      </w:r>
    </w:p>
    <w:p>
      <w:r>
        <w:rPr>
          <w:rFonts w:ascii="NPW Common" w:hAnsi="NPW Common" w:eastAsia="NPW Common" w:cs="NPW Common"/>
          <w:b w:val="0"/>
        </w:rPr>
        <w:t>Draft a 70–100 word correction. Add one action, its owner and when the crew will check whether it happened.</w:t>
      </w:r>
    </w:p>
    <w:p>
      <w:pPr>
        <w:pStyle w:val="Heading2"/>
      </w:pPr>
      <w:r>
        <w:rPr>
          <w:rFonts w:ascii="NPW Common" w:hAnsi="NPW Common" w:eastAsia="NPW Common" w:cs="NPW Common"/>
        </w:rPr>
        <w:t>10 minutes Peer editorial desk</w:t>
      </w:r>
    </w:p>
    <w:p>
      <w:r>
        <w:rPr>
          <w:rFonts w:ascii="NPW Common" w:hAnsi="NPW Common" w:eastAsia="NPW Common" w:cs="NPW Common"/>
          <w:b w:val="0"/>
        </w:rPr>
        <w:t>Partners check factual accuracy, reach and responsibility using the workbook. Revision is part of the assessment.</w:t>
      </w:r>
    </w:p>
    <w:p>
      <w:pPr>
        <w:pStyle w:val="Heading2"/>
      </w:pPr>
      <w:r>
        <w:rPr>
          <w:rFonts w:ascii="NPW Common" w:hAnsi="NPW Common" w:eastAsia="NPW Common" w:cs="NPW Common"/>
        </w:rPr>
        <w:t>5 minutes Exit</w:t>
      </w:r>
    </w:p>
    <w:p>
      <w:r>
        <w:rPr>
          <w:rFonts w:ascii="NPW Common" w:hAnsi="NPW Common" w:eastAsia="NPW Common" w:cs="NPW Common"/>
          <w:b w:val="0"/>
        </w:rPr>
        <w:t>Complete: “Our next recap will change because __.”</w:t>
      </w:r>
    </w:p>
    <w:p>
      <w:pPr>
        <w:pStyle w:val="Heading2"/>
      </w:pPr>
      <w:r>
        <w:rPr>
          <w:rFonts w:ascii="NPW Common" w:hAnsi="NPW Common" w:eastAsia="NPW Common" w:cs="NPW Common"/>
        </w:rPr>
        <w:t>Check for understanding</w:t>
      </w:r>
    </w:p>
    <w:p>
      <w:r>
        <w:rPr>
          <w:rFonts w:ascii="NPW Common" w:hAnsi="NPW Common" w:eastAsia="NPW Common" w:cs="NPW Common"/>
          <w:b w:val="0"/>
        </w:rPr>
        <w:t>The correction owns the inaccurate claim, supplies a supported account and proposes a check the crew can actually perform.</w:t>
      </w:r>
    </w:p>
    <w:p>
      <w:pPr>
        <w:pStyle w:val="Heading2"/>
      </w:pPr>
      <w:r>
        <w:rPr>
          <w:rFonts w:ascii="NPW Common" w:hAnsi="NPW Common" w:eastAsia="NPW Common" w:cs="NPW Common"/>
        </w:rPr>
        <w:t>Support for this workshop</w:t>
      </w:r>
    </w:p>
    <w:p>
      <w:r>
        <w:rPr>
          <w:rFonts w:ascii="NPW Common" w:hAnsi="NPW Common" w:eastAsia="NPW Common" w:cs="NPW Common"/>
          <w:b w:val="0"/>
        </w:rPr>
        <w:t>Analyze how the correction reaches people who saw the original. Separate a factual correction from an apology and a repair. Identify a measurable follow-up.</w:t>
      </w:r>
    </w:p>
    <w:p>
      <w:r>
        <w:rPr>
          <w:rFonts w:ascii="NPW Common" w:hAnsi="NPW Common" w:eastAsia="NPW Common" w:cs="NPW Common"/>
        </w:rPr>
        <w:br w:type="page"/>
      </w:r>
    </w:p>
    <w:p>
      <w:pPr>
        <w:pStyle w:val="Heading1"/>
      </w:pPr>
      <w:r>
        <w:rPr>
          <w:rFonts w:ascii="NPW Common" w:hAnsi="NPW Common" w:eastAsia="NPW Common" w:cs="NPW Common"/>
        </w:rPr>
        <w:t>Case 3 Worked response and feedback</w:t>
      </w:r>
    </w:p>
    <w:p>
      <w:pPr>
        <w:pStyle w:val="Heading2"/>
      </w:pPr>
      <w:r>
        <w:rPr>
          <w:rFonts w:ascii="NPW Common" w:hAnsi="NPW Common" w:eastAsia="NPW Common" w:cs="NPW Common"/>
        </w:rPr>
        <w:t>One possible response</w:t>
      </w:r>
    </w:p>
    <w:p>
      <w:r>
        <w:rPr>
          <w:rFonts w:ascii="NPW Common" w:hAnsi="NPW Common" w:eastAsia="NPW Common" w:cs="NPW Common"/>
          <w:b w:val="0"/>
        </w:rPr>
        <w:t>Our recap wrongly blamed younger attendees for the late start. The event log shows a projector failure delayed the screening. We have corrected the original caption and contacted the people it blamed. Gia and Jordy will check factual claims against the event record before the next recap.</w:t>
      </w:r>
    </w:p>
    <w:p>
      <w:pPr>
        <w:pStyle w:val="Heading2"/>
      </w:pPr>
      <w:r>
        <w:rPr>
          <w:rFonts w:ascii="NPW Common" w:hAnsi="NPW Common" w:eastAsia="NPW Common" w:cs="NPW Common"/>
        </w:rPr>
        <w:t>Why it holds up</w:t>
      </w:r>
    </w:p>
    <w:p>
      <w:r>
        <w:rPr>
          <w:rFonts w:ascii="NPW Common" w:hAnsi="NPW Common" w:eastAsia="NPW Common" w:cs="NPW Common"/>
          <w:b w:val="0"/>
        </w:rPr>
        <w:t>Choice 1B corrects the record. Choice 2C combines correction, outreach and a repeatable check. A different repair may work if it addresses the harm and is feasible.</w:t>
      </w:r>
    </w:p>
    <w:p>
      <w:pPr>
        <w:pStyle w:val="Heading2"/>
      </w:pPr>
      <w:r>
        <w:rPr>
          <w:rFonts w:ascii="NPW Common" w:hAnsi="NPW Common" w:eastAsia="NPW Common" w:cs="NPW Common"/>
        </w:rPr>
        <w:t>Feedback for a revision</w:t>
      </w:r>
    </w:p>
    <w:p>
      <w:r>
        <w:rPr>
          <w:rFonts w:ascii="NPW Common" w:hAnsi="NPW Common" w:eastAsia="NPW Common" w:cs="NPW Common"/>
          <w:b w:val="0"/>
        </w:rPr>
        <w:t>Ask the learner to underline the claim, name the exact record detail and explain the connection. Then ask what remains uncertain and what another person would need to know. A different recommendation can meet the goal when it is supported.</w:t>
      </w:r>
    </w:p>
    <w:p>
      <w:r>
        <w:rPr>
          <w:rFonts w:ascii="NPW Common" w:hAnsi="NPW Common" w:eastAsia="NPW Common" w:cs="NPW Common"/>
          <w:b w:val="0"/>
        </w:rPr>
        <w:t>The correction owns the inaccurate claim, supplies a supported account and proposes a check the crew can actually perform.</w:t>
      </w:r>
    </w:p>
    <w:p>
      <w:pPr>
        <w:pStyle w:val="Heading2"/>
      </w:pPr>
      <w:r>
        <w:rPr>
          <w:rFonts w:ascii="NPW Common" w:hAnsi="NPW Common" w:eastAsia="NPW Common" w:cs="NPW Common"/>
        </w:rPr>
        <w:t>Grade and course variations</w:t>
      </w:r>
    </w:p>
    <w:p>
      <w:r>
        <w:rPr>
          <w:rFonts w:ascii="NPW Common" w:hAnsi="NPW Common" w:eastAsia="NPW Common" w:cs="NPW Common"/>
          <w:b w:val="0"/>
        </w:rPr>
        <w:t>Grades 6-8: Use a four-line template: “We said __. The record shows __. We changed __. Next time __ will __.” Let students annotate a provided draft.</w:t>
      </w:r>
    </w:p>
    <w:p>
      <w:r>
        <w:rPr>
          <w:rFonts w:ascii="NPW Common" w:hAnsi="NPW Common" w:eastAsia="NPW Common" w:cs="NPW Common"/>
          <w:b w:val="0"/>
        </w:rPr>
        <w:t>Grades 9-12: Analyze how the correction reaches people who saw the original. Separate a factual correction from an apology and a repair. Identify a measurable follow-up.</w:t>
      </w:r>
    </w:p>
    <w:p>
      <w:r>
        <w:rPr>
          <w:rFonts w:ascii="NPW Common" w:hAnsi="NPW Common" w:eastAsia="NPW Common" w:cs="NPW Common"/>
          <w:b w:val="0"/>
        </w:rPr>
        <w:t>Pre-AP English 1 starts with close annotation and one analytical paragraph. English 2 extends to source synthesis and a revision memo. AP English Language adds a defensible thesis, commentary, counterargument and purposeful audience choices. MYP targets analysing, organizing, producing text and using language. DP focuses on guided nonliterary textual analysis. Honors adds independent corroboration and a condition that could change the conclusion.</w:t>
      </w:r>
    </w:p>
    <w:p>
      <w:r>
        <w:rPr>
          <w:rFonts w:ascii="NPW Common" w:hAnsi="NPW Common" w:eastAsia="NPW Common" w:cs="NPW Common"/>
          <w:b w:val="0"/>
        </w:rPr>
        <w:t>Use the separate crosswalk for exact grade codes and case-specific course tasks. These are selected practice targets, not program endorsement or complete-course alignment.</w:t>
      </w:r>
    </w:p>
    <w:p>
      <w:r>
        <w:rPr>
          <w:rFonts w:ascii="NPW Common" w:hAnsi="NPW Common" w:eastAsia="NPW Common" w:cs="NPW Common"/>
        </w:rPr>
        <w:br w:type="page"/>
      </w:r>
    </w:p>
    <w:p>
      <w:pPr>
        <w:pStyle w:val="Heading1"/>
      </w:pPr>
      <w:r>
        <w:rPr>
          <w:rFonts w:ascii="NPW Common" w:hAnsi="NPW Common" w:eastAsia="NPW Common" w:cs="NPW Common"/>
        </w:rPr>
        <w:t>Case 4 Whose room is it, anyway?</w:t>
      </w:r>
    </w:p>
    <w:p>
      <w:pPr>
        <w:pStyle w:val="Heading2"/>
      </w:pPr>
      <w:r>
        <w:rPr>
          <w:rFonts w:ascii="NPW Common" w:hAnsi="NPW Common" w:eastAsia="NPW Common" w:cs="NPW Common"/>
        </w:rPr>
        <w:t>Learning goal</w:t>
      </w:r>
    </w:p>
    <w:p>
      <w:r>
        <w:rPr>
          <w:rFonts w:ascii="NPW Common" w:hAnsi="NPW Common" w:eastAsia="NPW Common" w:cs="NPW Common"/>
          <w:b w:val="0"/>
        </w:rPr>
        <w:t>Compare a proposal’s budget and access effects, then recommend a next step to the actual decision-maker.</w:t>
      </w:r>
    </w:p>
    <w:p>
      <w:pPr>
        <w:pStyle w:val="Heading2"/>
      </w:pPr>
      <w:r>
        <w:rPr>
          <w:rFonts w:ascii="NPW Common" w:hAnsi="NPW Common" w:eastAsia="NPW Common" w:cs="NPW Common"/>
        </w:rPr>
        <w:t>The situation</w:t>
      </w:r>
    </w:p>
    <w:p>
      <w:r>
        <w:rPr>
          <w:rFonts w:ascii="NPW Common" w:hAnsi="NPW Common" w:eastAsia="NPW Common" w:cs="NPW Common"/>
          <w:b w:val="0"/>
        </w:rPr>
        <w:t>The Common Room is run by a small neighborhood nonprofit alongside the bookshop. Its board is considering two paid evening rentals a week to help cover staffing. Nothing has passed yet. Mari, 19, works the counter. She knows “just keep it free” does not pay the evening staff.</w:t>
      </w:r>
    </w:p>
    <w:p>
      <w:r>
        <w:rPr>
          <w:rFonts w:ascii="NPW Common" w:hAnsi="NPW Common" w:eastAsia="NPW Common" w:cs="NPW Common"/>
          <w:b w:val="0"/>
        </w:rPr>
        <w:t>Sami, 23, needs an accessible place to meet clients after her print-shop shift. Mateo wants to start a petition immediately. The crew agrees the room matters; they do not agree on the best schedule. You are helping them make a specific, informed request before the board meeting.</w:t>
      </w:r>
    </w:p>
    <w:p>
      <w:pPr>
        <w:pStyle w:val="Heading2"/>
      </w:pPr>
      <w:r>
        <w:rPr>
          <w:rFonts w:ascii="NPW Common" w:hAnsi="NPW Common" w:eastAsia="NPW Common" w:cs="NPW Common"/>
        </w:rPr>
        <w:t>Options and criteria + stakeholder inquiry</w:t>
      </w:r>
    </w:p>
    <w:p>
      <w:r>
        <w:rPr>
          <w:rFonts w:ascii="NPW Common" w:hAnsi="NPW Common" w:eastAsia="NPW Common" w:cs="NPW Common"/>
          <w:b w:val="0"/>
        </w:rPr>
        <w:t>Problem. The weekly cost is $600. Confirmed support is $400. Who can decide how to cover the gap?</w:t>
      </w:r>
    </w:p>
    <w:p>
      <w:r>
        <w:rPr>
          <w:rFonts w:ascii="NPW Common" w:hAnsi="NPW Common" w:eastAsia="NPW Common" w:cs="NPW Common"/>
          <w:b w:val="0"/>
        </w:rPr>
        <w:t>Options. Compare no rentals, one rental and two rentals using the same weekly figures.</w:t>
      </w:r>
    </w:p>
    <w:p>
      <w:r>
        <w:rPr>
          <w:rFonts w:ascii="NPW Common" w:hAnsi="NPW Common" w:eastAsia="NPW Common" w:cs="NPW Common"/>
          <w:b w:val="0"/>
        </w:rPr>
        <w:t>People. Who loses an evening? Ask whose work, access or travel schedule the proposal misses.</w:t>
      </w:r>
    </w:p>
    <w:p>
      <w:r>
        <w:rPr>
          <w:rFonts w:ascii="NPW Common" w:hAnsi="NPW Common" w:eastAsia="NPW Common" w:cs="NPW Common"/>
          <w:b w:val="0"/>
        </w:rPr>
        <w:t>Recommendation. Defend an option, name its cost and say what new evidence could change your mind.</w:t>
      </w:r>
    </w:p>
    <w:p>
      <w:r>
        <w:rPr>
          <w:rFonts w:ascii="NPW Common" w:hAnsi="NPW Common" w:eastAsia="NPW Common" w:cs="NPW Common"/>
          <w:b w:val="0"/>
        </w:rPr>
        <w:t>Misunderstanding to watch for: An agenda is not a final vote. A revenue estimate is not guaranteed income. The nonprofit board in the story is not a government community board.</w:t>
      </w:r>
    </w:p>
    <w:p>
      <w:r>
        <w:rPr>
          <w:rFonts w:ascii="NPW Common" w:hAnsi="NPW Common" w:eastAsia="NPW Common" w:cs="NPW Common"/>
          <w:b/>
        </w:rPr>
        <w:t xml:space="preserve">Policy analysis, CDC  </w:t>
      </w:r>
      <w:hyperlink r:id="rId17">
        <w:r>
          <w:rPr>
            <w:rFonts w:ascii="NPW Common" w:hAnsi="NPW Common" w:eastAsia="NPW Common" w:cs="NPW Common"/>
            <w:color w:val="234EDB"/>
          </w:rPr>
          <w:t>Open source</w:t>
        </w:r>
      </w:hyperlink>
    </w:p>
    <w:p>
      <w:r>
        <w:rPr>
          <w:rFonts w:ascii="NPW Common" w:hAnsi="NPW Common" w:eastAsia="NPW Common" w:cs="NPW Common"/>
          <w:b/>
        </w:rPr>
        <w:t xml:space="preserve">Stakeholder inquiry, EPA  </w:t>
      </w:r>
      <w:hyperlink r:id="rId18">
        <w:r>
          <w:rPr>
            <w:rFonts w:ascii="NPW Common" w:hAnsi="NPW Common" w:eastAsia="NPW Common" w:cs="NPW Common"/>
            <w:color w:val="234EDB"/>
          </w:rPr>
          <w:t>Open source</w:t>
        </w:r>
      </w:hyperlink>
    </w:p>
    <w:p>
      <w:r>
        <w:rPr>
          <w:rFonts w:ascii="NPW Common" w:hAnsi="NPW Common" w:eastAsia="NPW Common" w:cs="NPW Common"/>
        </w:rPr>
        <w:br w:type="page"/>
      </w:r>
    </w:p>
    <w:p>
      <w:pPr>
        <w:pStyle w:val="Heading1"/>
      </w:pPr>
      <w:r>
        <w:rPr>
          <w:rFonts w:ascii="NPW Common" w:hAnsi="NPW Common" w:eastAsia="NPW Common" w:cs="NPW Common"/>
        </w:rPr>
        <w:t>Workshop 7 The room and the rules</w:t>
      </w:r>
    </w:p>
    <w:p>
      <w:r>
        <w:rPr>
          <w:rFonts w:ascii="NPW Common" w:hAnsi="NPW Common" w:eastAsia="NPW Common" w:cs="NPW Common"/>
          <w:b/>
        </w:rPr>
        <w:t>Map decision-making power and compare budget estimates with access needs.</w:t>
      </w:r>
    </w:p>
    <w:p>
      <w:pPr>
        <w:pStyle w:val="Heading2"/>
      </w:pPr>
      <w:r>
        <w:rPr>
          <w:rFonts w:ascii="NPW Common" w:hAnsi="NPW Common" w:eastAsia="NPW Common" w:cs="NPW Common"/>
        </w:rPr>
        <w:t>5 minutes Name the decision</w:t>
      </w:r>
    </w:p>
    <w:p>
      <w:r>
        <w:rPr>
          <w:rFonts w:ascii="NPW Common" w:hAnsi="NPW Common" w:eastAsia="NPW Common" w:cs="NPW Common"/>
          <w:b w:val="0"/>
        </w:rPr>
        <w:t>Read the board agenda. Ask whether it is a final decision and who can vote on this proposal.</w:t>
      </w:r>
    </w:p>
    <w:p>
      <w:pPr>
        <w:pStyle w:val="Heading2"/>
      </w:pPr>
      <w:r>
        <w:rPr>
          <w:rFonts w:ascii="NPW Common" w:hAnsi="NPW Common" w:eastAsia="NPW Common" w:cs="NPW Common"/>
        </w:rPr>
        <w:t>10 minutes Hear the room</w:t>
      </w:r>
    </w:p>
    <w:p>
      <w:r>
        <w:rPr>
          <w:rFonts w:ascii="NPW Common" w:hAnsi="NPW Common" w:eastAsia="NPW Common" w:cs="NPW Common"/>
          <w:b w:val="0"/>
        </w:rPr>
        <w:t>Make a people map from the listening notes. Add missing voices as questions, not invented testimony.</w:t>
      </w:r>
    </w:p>
    <w:p>
      <w:pPr>
        <w:pStyle w:val="Heading2"/>
      </w:pPr>
      <w:r>
        <w:rPr>
          <w:rFonts w:ascii="NPW Common" w:hAnsi="NPW Common" w:eastAsia="NPW Common" w:cs="NPW Common"/>
        </w:rPr>
        <w:t>15 minutes Work the figures</w:t>
      </w:r>
    </w:p>
    <w:p>
      <w:r>
        <w:rPr>
          <w:rFonts w:ascii="NPW Common" w:hAnsi="NPW Common" w:eastAsia="NPW Common" w:cs="NPW Common"/>
          <w:b w:val="0"/>
        </w:rPr>
        <w:t>Calculate the $200 gap. Model no rental, one rental and two rentals. Underline that demand is uncertain.</w:t>
      </w:r>
    </w:p>
    <w:p>
      <w:pPr>
        <w:pStyle w:val="Heading2"/>
      </w:pPr>
      <w:r>
        <w:rPr>
          <w:rFonts w:ascii="NPW Common" w:hAnsi="NPW Common" w:eastAsia="NPW Common" w:cs="NPW Common"/>
        </w:rPr>
        <w:t>10 minutes Ask better questions</w:t>
      </w:r>
    </w:p>
    <w:p>
      <w:r>
        <w:rPr>
          <w:rFonts w:ascii="NPW Common" w:hAnsi="NPW Common" w:eastAsia="NPW Common" w:cs="NPW Common"/>
          <w:b w:val="0"/>
        </w:rPr>
        <w:t>Draft one budget question and one access question for the nonprofit board. Distinguish this board from a public city community board.</w:t>
      </w:r>
    </w:p>
    <w:p>
      <w:pPr>
        <w:pStyle w:val="Heading2"/>
      </w:pPr>
      <w:r>
        <w:rPr>
          <w:rFonts w:ascii="NPW Common" w:hAnsi="NPW Common" w:eastAsia="NPW Common" w:cs="NPW Common"/>
        </w:rPr>
        <w:t>5 minutes Exit</w:t>
      </w:r>
    </w:p>
    <w:p>
      <w:r>
        <w:rPr>
          <w:rFonts w:ascii="NPW Common" w:hAnsi="NPW Common" w:eastAsia="NPW Common" w:cs="NPW Common"/>
          <w:b w:val="0"/>
        </w:rPr>
        <w:t>Name a person affected who may miss the meeting and an alternate way they could contribute.</w:t>
      </w:r>
    </w:p>
    <w:p>
      <w:pPr>
        <w:pStyle w:val="Heading2"/>
      </w:pPr>
      <w:r>
        <w:rPr>
          <w:rFonts w:ascii="NPW Common" w:hAnsi="NPW Common" w:eastAsia="NPW Common" w:cs="NPW Common"/>
        </w:rPr>
        <w:t>Check for understanding</w:t>
      </w:r>
    </w:p>
    <w:p>
      <w:r>
        <w:rPr>
          <w:rFonts w:ascii="NPW Common" w:hAnsi="NPW Common" w:eastAsia="NPW Common" w:cs="NPW Common"/>
          <w:b w:val="0"/>
        </w:rPr>
        <w:t>The student calculates $200 and $80 correctly, describes projections conditionally and names the nonprofit board as the story’s decision-maker.</w:t>
      </w:r>
    </w:p>
    <w:p>
      <w:pPr>
        <w:pStyle w:val="Heading2"/>
      </w:pPr>
      <w:r>
        <w:rPr>
          <w:rFonts w:ascii="NPW Common" w:hAnsi="NPW Common" w:eastAsia="NPW Common" w:cs="NPW Common"/>
        </w:rPr>
        <w:t>Support for this workshop</w:t>
      </w:r>
    </w:p>
    <w:p>
      <w:r>
        <w:rPr>
          <w:rFonts w:ascii="NPW Common" w:hAnsi="NPW Common" w:eastAsia="NPW Common" w:cs="NPW Common"/>
          <w:b w:val="0"/>
        </w:rPr>
        <w:t>Use a calculator, a completed $600 minus $400 example and a people-map organizer. Read one option at a time. Offer a written comment rather than public speaking.</w:t>
      </w:r>
    </w:p>
    <w:p>
      <w:r>
        <w:rPr>
          <w:rFonts w:ascii="NPW Common" w:hAnsi="NPW Common" w:eastAsia="NPW Common" w:cs="NPW Common"/>
        </w:rPr>
        <w:br w:type="page"/>
      </w:r>
    </w:p>
    <w:p>
      <w:pPr>
        <w:pStyle w:val="Heading1"/>
      </w:pPr>
      <w:r>
        <w:rPr>
          <w:rFonts w:ascii="NPW Common" w:hAnsi="NPW Common" w:eastAsia="NPW Common" w:cs="NPW Common"/>
        </w:rPr>
        <w:t>Workshop 8 A recommendation with receipts</w:t>
      </w:r>
    </w:p>
    <w:p>
      <w:r>
        <w:rPr>
          <w:rFonts w:ascii="NPW Common" w:hAnsi="NPW Common" w:eastAsia="NPW Common" w:cs="NPW Common"/>
          <w:b/>
        </w:rPr>
        <w:t>Justify a feasible recommendation and explain its effects and limits.</w:t>
      </w:r>
    </w:p>
    <w:p>
      <w:pPr>
        <w:pStyle w:val="Heading2"/>
      </w:pPr>
      <w:r>
        <w:rPr>
          <w:rFonts w:ascii="NPW Common" w:hAnsi="NPW Common" w:eastAsia="NPW Common" w:cs="NPW Common"/>
        </w:rPr>
        <w:t>5 minutes Review the options</w:t>
      </w:r>
    </w:p>
    <w:p>
      <w:r>
        <w:rPr>
          <w:rFonts w:ascii="NPW Common" w:hAnsi="NPW Common" w:eastAsia="NPW Common" w:cs="NPW Common"/>
          <w:b w:val="0"/>
        </w:rPr>
        <w:t>Restate all three options fairly. Students may support any option if they address evidence and constraints.</w:t>
      </w:r>
    </w:p>
    <w:p>
      <w:pPr>
        <w:pStyle w:val="Heading2"/>
      </w:pPr>
      <w:r>
        <w:rPr>
          <w:rFonts w:ascii="NPW Common" w:hAnsi="NPW Common" w:eastAsia="NPW Common" w:cs="NPW Common"/>
        </w:rPr>
        <w:t>10 minutes Try the decisions</w:t>
      </w:r>
    </w:p>
    <w:p>
      <w:r>
        <w:rPr>
          <w:rFonts w:ascii="NPW Common" w:hAnsi="NPW Common" w:eastAsia="NPW Common" w:cs="NPW Common"/>
          <w:b w:val="0"/>
        </w:rPr>
        <w:t>Consider the branch feedback. Ask what changes if a rental goes unbooked or an access need emerges.</w:t>
      </w:r>
    </w:p>
    <w:p>
      <w:pPr>
        <w:pStyle w:val="Heading2"/>
      </w:pPr>
      <w:r>
        <w:rPr>
          <w:rFonts w:ascii="NPW Common" w:hAnsi="NPW Common" w:eastAsia="NPW Common" w:cs="NPW Common"/>
        </w:rPr>
        <w:t>15 minutes Prepare a comment</w:t>
      </w:r>
    </w:p>
    <w:p>
      <w:r>
        <w:rPr>
          <w:rFonts w:ascii="NPW Common" w:hAnsi="NPW Common" w:eastAsia="NPW Common" w:cs="NPW Common"/>
          <w:b w:val="0"/>
        </w:rPr>
        <w:t>Write a 90-second comment or a 120–160 word letter. Include a supported fact, affected perspective, request and follow-up.</w:t>
      </w:r>
    </w:p>
    <w:p>
      <w:pPr>
        <w:pStyle w:val="Heading2"/>
      </w:pPr>
      <w:r>
        <w:rPr>
          <w:rFonts w:ascii="NPW Common" w:hAnsi="NPW Common" w:eastAsia="NPW Common" w:cs="NPW Common"/>
        </w:rPr>
        <w:t>10 minutes Test and revise</w:t>
      </w:r>
    </w:p>
    <w:p>
      <w:r>
        <w:rPr>
          <w:rFonts w:ascii="NPW Common" w:hAnsi="NPW Common" w:eastAsia="NPW Common" w:cs="NPW Common"/>
          <w:b w:val="0"/>
        </w:rPr>
        <w:t>A partner plays a board member and asks one good-faith question. Revise a claim or acknowledge a limit.</w:t>
      </w:r>
    </w:p>
    <w:p>
      <w:pPr>
        <w:pStyle w:val="Heading2"/>
      </w:pPr>
      <w:r>
        <w:rPr>
          <w:rFonts w:ascii="NPW Common" w:hAnsi="NPW Common" w:eastAsia="NPW Common" w:cs="NPW Common"/>
        </w:rPr>
        <w:t>5 minutes Exit</w:t>
      </w:r>
    </w:p>
    <w:p>
      <w:r>
        <w:rPr>
          <w:rFonts w:ascii="NPW Common" w:hAnsi="NPW Common" w:eastAsia="NPW Common" w:cs="NPW Common"/>
          <w:b w:val="0"/>
        </w:rPr>
        <w:t>Choose a private next step: find a meeting agenda, ask a school representative or discuss the proposal with a trusted adult.</w:t>
      </w:r>
    </w:p>
    <w:p>
      <w:pPr>
        <w:pStyle w:val="Heading2"/>
      </w:pPr>
      <w:r>
        <w:rPr>
          <w:rFonts w:ascii="NPW Common" w:hAnsi="NPW Common" w:eastAsia="NPW Common" w:cs="NPW Common"/>
        </w:rPr>
        <w:t>Check for understanding</w:t>
      </w:r>
    </w:p>
    <w:p>
      <w:r>
        <w:rPr>
          <w:rFonts w:ascii="NPW Common" w:hAnsi="NPW Common" w:eastAsia="NPW Common" w:cs="NPW Common"/>
          <w:b w:val="0"/>
        </w:rPr>
        <w:t>The recommendation addresses both budget and access, names an assumption and requests something within the board’s authority.</w:t>
      </w:r>
    </w:p>
    <w:p>
      <w:pPr>
        <w:pStyle w:val="Heading2"/>
      </w:pPr>
      <w:r>
        <w:rPr>
          <w:rFonts w:ascii="NPW Common" w:hAnsi="NPW Common" w:eastAsia="NPW Common" w:cs="NPW Common"/>
        </w:rPr>
        <w:t>Support for this workshop</w:t>
      </w:r>
    </w:p>
    <w:p>
      <w:r>
        <w:rPr>
          <w:rFonts w:ascii="NPW Common" w:hAnsi="NPW Common" w:eastAsia="NPW Common" w:cs="NPW Common"/>
          <w:b w:val="0"/>
        </w:rPr>
        <w:t>Test a zero-booking scenario and explain what the pilot would measure. Compare who attends with who is affected. Suggest an accessible feedback route.</w:t>
      </w:r>
    </w:p>
    <w:p>
      <w:r>
        <w:rPr>
          <w:rFonts w:ascii="NPW Common" w:hAnsi="NPW Common" w:eastAsia="NPW Common" w:cs="NPW Common"/>
        </w:rPr>
        <w:br w:type="page"/>
      </w:r>
    </w:p>
    <w:p>
      <w:pPr>
        <w:pStyle w:val="Heading1"/>
      </w:pPr>
      <w:r>
        <w:rPr>
          <w:rFonts w:ascii="NPW Common" w:hAnsi="NPW Common" w:eastAsia="NPW Common" w:cs="NPW Common"/>
        </w:rPr>
        <w:t>Case 4 Worked response and feedback</w:t>
      </w:r>
    </w:p>
    <w:p>
      <w:pPr>
        <w:pStyle w:val="Heading2"/>
      </w:pPr>
      <w:r>
        <w:rPr>
          <w:rFonts w:ascii="NPW Common" w:hAnsi="NPW Common" w:eastAsia="NPW Common" w:cs="NPW Common"/>
        </w:rPr>
        <w:t>One possible response</w:t>
      </w:r>
    </w:p>
    <w:p>
      <w:r>
        <w:rPr>
          <w:rFonts w:ascii="NPW Common" w:hAnsi="NPW Common" w:eastAsia="NPW Common" w:cs="NPW Common"/>
          <w:b w:val="0"/>
        </w:rPr>
        <w:t>I use the room after work. Removing both free evenings would leave me with fewer accessible meeting options. A one-night pilot would still leave a projected $80 weekly gap, so I’m asking for a funding plan, input from evening users and a review after six weeks before a longer-term change.</w:t>
      </w:r>
    </w:p>
    <w:p>
      <w:pPr>
        <w:pStyle w:val="Heading2"/>
      </w:pPr>
      <w:r>
        <w:rPr>
          <w:rFonts w:ascii="NPW Common" w:hAnsi="NPW Common" w:eastAsia="NPW Common" w:cs="NPW Common"/>
        </w:rPr>
        <w:t>Why it holds up</w:t>
      </w:r>
    </w:p>
    <w:p>
      <w:r>
        <w:rPr>
          <w:rFonts w:ascii="NPW Common" w:hAnsi="NPW Common" w:eastAsia="NPW Common" w:cs="NPW Common"/>
          <w:b w:val="0"/>
        </w:rPr>
        <w:t>Choice 1B gathers decision-relevant information. Choice 2C offers a conditional pilot, but other recommendations can earn full credit when they address the gap, access and uncertainty.</w:t>
      </w:r>
    </w:p>
    <w:p>
      <w:pPr>
        <w:pStyle w:val="Heading2"/>
      </w:pPr>
      <w:r>
        <w:rPr>
          <w:rFonts w:ascii="NPW Common" w:hAnsi="NPW Common" w:eastAsia="NPW Common" w:cs="NPW Common"/>
        </w:rPr>
        <w:t>Feedback for a revision</w:t>
      </w:r>
    </w:p>
    <w:p>
      <w:r>
        <w:rPr>
          <w:rFonts w:ascii="NPW Common" w:hAnsi="NPW Common" w:eastAsia="NPW Common" w:cs="NPW Common"/>
          <w:b w:val="0"/>
        </w:rPr>
        <w:t>Ask the learner to underline the claim, name the exact record detail and explain the connection. Then ask what remains uncertain and what another person would need to know. A different recommendation can meet the goal when it is supported.</w:t>
      </w:r>
    </w:p>
    <w:p>
      <w:r>
        <w:rPr>
          <w:rFonts w:ascii="NPW Common" w:hAnsi="NPW Common" w:eastAsia="NPW Common" w:cs="NPW Common"/>
          <w:b w:val="0"/>
        </w:rPr>
        <w:t>The recommendation addresses both budget and access, names an assumption and requests something within the board’s authority.</w:t>
      </w:r>
    </w:p>
    <w:p>
      <w:pPr>
        <w:pStyle w:val="Heading2"/>
      </w:pPr>
      <w:r>
        <w:rPr>
          <w:rFonts w:ascii="NPW Common" w:hAnsi="NPW Common" w:eastAsia="NPW Common" w:cs="NPW Common"/>
        </w:rPr>
        <w:t>Grade and course variations</w:t>
      </w:r>
    </w:p>
    <w:p>
      <w:r>
        <w:rPr>
          <w:rFonts w:ascii="NPW Common" w:hAnsi="NPW Common" w:eastAsia="NPW Common" w:cs="NPW Common"/>
          <w:b w:val="0"/>
        </w:rPr>
        <w:t>Grades 6-8: Use a calculator, a completed $600 minus $400 example and a people-map organizer. Read one option at a time. Offer a written comment rather than public speaking.</w:t>
      </w:r>
    </w:p>
    <w:p>
      <w:r>
        <w:rPr>
          <w:rFonts w:ascii="NPW Common" w:hAnsi="NPW Common" w:eastAsia="NPW Common" w:cs="NPW Common"/>
          <w:b w:val="0"/>
        </w:rPr>
        <w:t>Grades 9-12: Test a zero-booking scenario and explain what the pilot would measure. Compare who attends with who is affected. Suggest an accessible feedback route.</w:t>
      </w:r>
    </w:p>
    <w:p>
      <w:r>
        <w:rPr>
          <w:rFonts w:ascii="NPW Common" w:hAnsi="NPW Common" w:eastAsia="NPW Common" w:cs="NPW Common"/>
          <w:b w:val="0"/>
        </w:rPr>
        <w:t>Pre-AP English 1 starts with close annotation and one analytical paragraph. English 2 extends to source synthesis and a revision memo. AP English Language adds a defensible thesis, commentary, counterargument and purposeful audience choices. MYP targets analysing, organizing, producing text and using language. DP focuses on guided nonliterary textual analysis. Honors adds independent corroboration and a condition that could change the conclusion.</w:t>
      </w:r>
    </w:p>
    <w:p>
      <w:r>
        <w:rPr>
          <w:rFonts w:ascii="NPW Common" w:hAnsi="NPW Common" w:eastAsia="NPW Common" w:cs="NPW Common"/>
          <w:b w:val="0"/>
        </w:rPr>
        <w:t>Use the separate crosswalk for exact grade codes and case-specific course tasks. These are selected practice targets, not program endorsement or complete-course alignment.</w:t>
      </w:r>
    </w:p>
    <w:p>
      <w:r>
        <w:rPr>
          <w:rFonts w:ascii="NPW Common" w:hAnsi="NPW Common" w:eastAsia="NPW Common" w:cs="NPW Common"/>
        </w:rPr>
        <w:br w:type="page"/>
      </w:r>
    </w:p>
    <w:p>
      <w:pPr>
        <w:pStyle w:val="Heading1"/>
      </w:pPr>
      <w:r>
        <w:rPr>
          <w:rFonts w:ascii="NPW Common" w:hAnsi="NPW Common" w:eastAsia="NPW Common" w:cs="NPW Common"/>
        </w:rPr>
        <w:t>Optional production tools</w:t>
      </w:r>
    </w:p>
    <w:p>
      <w:r>
        <w:rPr>
          <w:rFonts w:ascii="NPW Common" w:hAnsi="NPW Common" w:eastAsia="NPW Common" w:cs="NPW Common"/>
          <w:b w:val="0"/>
        </w:rPr>
        <w:t>All assessed work can be completed on paper or in the site’s response workbench. External tools follow the reasoning. They do not replace it.</w:t>
      </w:r>
    </w:p>
    <w:tbl>
      <w:tblPr>
        <w:tblW w:type="auto" w:w="0"/>
        <w:tblLayout w:type="fixed"/>
        <w:tblLook w:firstColumn="1" w:firstRow="1" w:lastColumn="0" w:lastRow="0" w:noHBand="0" w:noVBand="1" w:val="04A0"/>
      </w:tblPr>
      <w:tblGrid>
        <w:gridCol w:w="2160"/>
        <w:gridCol w:w="7920"/>
      </w:tblGrid>
      <w:tr>
        <w:trPr>
          <w:tblHeader/>
        </w:trPr>
        <w:tc>
          <w:tcPr>
            <w:tcW w:type="dxa" w:w="2160"/>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234EDB"/>
          </w:tcPr>
          <w:p>
            <w:pPr>
              <w:spacing w:after="60" w:line="269" w:lineRule="auto"/>
            </w:pPr>
            <w:r>
              <w:rPr>
                <w:rFonts w:ascii="NPW Common" w:hAnsi="NPW Common" w:eastAsia="NPW Common" w:cs="NPW Common"/>
                <w:b/>
                <w:color w:val="FFFFFF"/>
                <w:sz w:val="18"/>
              </w:rPr>
              <w:t>Tool</w:t>
            </w:r>
          </w:p>
        </w:tc>
        <w:tc>
          <w:tcPr>
            <w:tcW w:type="dxa" w:w="7920"/>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234EDB"/>
          </w:tcPr>
          <w:p>
            <w:pPr>
              <w:spacing w:after="60" w:line="269" w:lineRule="auto"/>
            </w:pPr>
            <w:r>
              <w:rPr>
                <w:rFonts w:ascii="NPW Common" w:hAnsi="NPW Common" w:eastAsia="NPW Common" w:cs="NPW Common"/>
                <w:b/>
                <w:color w:val="FFFFFF"/>
                <w:sz w:val="18"/>
              </w:rPr>
              <w:t>Real file workflow</w:t>
            </w:r>
          </w:p>
        </w:tc>
      </w:tr>
      <w:tr>
        <w:tc>
          <w:tcPr>
            <w:tcW w:type="dxa" w:w="2160"/>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Pages for iCloud</w:t>
            </w:r>
          </w:p>
        </w:tc>
        <w:tc>
          <w:tcPr>
            <w:tcW w:type="dxa" w:w="7920"/>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Download a case DOCX, upload it, draft with source IDs, use comments, keep a revision log, download Word or PDF.</w:t>
            </w:r>
          </w:p>
        </w:tc>
      </w:tr>
      <w:tr>
        <w:tc>
          <w:tcPr>
            <w:tcW w:type="dxa" w:w="2160"/>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5F8FF"/>
          </w:tcPr>
          <w:p>
            <w:pPr>
              <w:spacing w:after="60" w:line="269" w:lineRule="auto"/>
            </w:pPr>
            <w:r>
              <w:rPr>
                <w:rFonts w:ascii="NPW Common" w:hAnsi="NPW Common" w:eastAsia="NPW Common" w:cs="NPW Common"/>
                <w:b w:val="0"/>
                <w:color w:val="172F46"/>
                <w:sz w:val="18"/>
              </w:rPr>
              <w:t>Keynote for iCloud</w:t>
            </w:r>
          </w:p>
        </w:tc>
        <w:tc>
          <w:tcPr>
            <w:tcW w:type="dxa" w:w="7920"/>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5F8FF"/>
          </w:tcPr>
          <w:p>
            <w:pPr>
              <w:spacing w:after="60" w:line="269" w:lineRule="auto"/>
            </w:pPr>
            <w:r>
              <w:rPr>
                <w:rFonts w:ascii="NPW Common" w:hAnsi="NPW Common" w:eastAsia="NPW Common" w:cs="NPW Common"/>
                <w:b w:val="0"/>
                <w:color w:val="172F46"/>
                <w:sz w:val="18"/>
              </w:rPr>
              <w:t>Upload the three-slide PPTX, explain the decision, evidence and action, download PowerPoint or PDF.</w:t>
            </w:r>
          </w:p>
        </w:tc>
      </w:tr>
      <w:tr>
        <w:tc>
          <w:tcPr>
            <w:tcW w:type="dxa" w:w="2160"/>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Adobe Express</w:t>
            </w:r>
          </w:p>
        </w:tc>
        <w:tc>
          <w:tcPr>
            <w:tcW w:type="dxa" w:w="7920"/>
            <w:tcMar>
              <w:top w:w="100" w:type="dxa"/>
              <w:bottom w:w="100" w:type="dxa"/>
              <w:left w:w="100" w:type="dxa"/>
              <w:right w:w="100" w:type="dxa"/>
            </w:tcMar>
            <w:tcBorders>
              <w:top w:val="single" w:sz="4" w:color="D9D9D9"/>
              <w:bottom w:val="single" w:sz="4" w:color="D9D9D9"/>
              <w:left w:val="single" w:sz="4" w:color="D9D9D9"/>
              <w:right w:val="single" w:sz="4" w:color="D9D9D9"/>
              <w:insideH w:val="single" w:sz="4" w:color="D9D9D9"/>
              <w:insideV w:val="single" w:sz="4" w:color="D9D9D9"/>
            </w:tcBorders>
            <w:shd w:fill="FFFFFF"/>
          </w:tcPr>
          <w:p>
            <w:pPr>
              <w:spacing w:after="60" w:line="269" w:lineRule="auto"/>
            </w:pPr>
            <w:r>
              <w:rPr>
                <w:rFonts w:ascii="NPW Common" w:hAnsi="NPW Common" w:eastAsia="NPW Common" w:cs="NPW Common"/>
                <w:b w:val="0"/>
                <w:color w:val="172F46"/>
                <w:sz w:val="18"/>
              </w:rPr>
              <w:t>Import the correction-card PDF into school-approved access, replace prompt text with checked copy, retain a text equivalent, export PDF or PNG.</w:t>
            </w:r>
          </w:p>
        </w:tc>
      </w:tr>
    </w:tbl>
    <w:p>
      <w:r>
        <w:rPr>
          <w:rFonts w:ascii="NPW Common" w:hAnsi="NPW Common" w:eastAsia="NPW Common" w:cs="NPW Common"/>
          <w:b w:val="0"/>
        </w:rPr>
        <w:t>Use school-approved accounts or teacher demonstrations. Apple web editing requires supported access and cannot edit tracked changes. Android shared documents may be view-only. Adobe education licensing and access for younger children differ from personal accounts. No automatic import, account provisioning or synchronized return is implied.</w:t>
      </w:r>
    </w:p>
    <w:p>
      <w:r>
        <w:rPr>
          <w:rFonts w:ascii="NPW Common" w:hAnsi="NPW Common" w:eastAsia="NPW Common" w:cs="NPW Common"/>
          <w:b/>
        </w:rPr>
        <w:t xml:space="preserve">Pages upload help  </w:t>
      </w:r>
      <w:hyperlink r:id="rId19">
        <w:r>
          <w:rPr>
            <w:rFonts w:ascii="NPW Common" w:hAnsi="NPW Common" w:eastAsia="NPW Common" w:cs="NPW Common"/>
            <w:color w:val="234EDB"/>
          </w:rPr>
          <w:t>Open source</w:t>
        </w:r>
      </w:hyperlink>
    </w:p>
    <w:p>
      <w:r>
        <w:rPr>
          <w:rFonts w:ascii="NPW Common" w:hAnsi="NPW Common" w:eastAsia="NPW Common" w:cs="NPW Common"/>
          <w:b/>
        </w:rPr>
        <w:t xml:space="preserve">Keynote web guide  </w:t>
      </w:r>
      <w:hyperlink r:id="rId20">
        <w:r>
          <w:rPr>
            <w:rFonts w:ascii="NPW Common" w:hAnsi="NPW Common" w:eastAsia="NPW Common" w:cs="NPW Common"/>
            <w:color w:val="234EDB"/>
          </w:rPr>
          <w:t>Open source</w:t>
        </w:r>
      </w:hyperlink>
    </w:p>
    <w:p>
      <w:r>
        <w:rPr>
          <w:rFonts w:ascii="NPW Common" w:hAnsi="NPW Common" w:eastAsia="NPW Common" w:cs="NPW Common"/>
          <w:b/>
        </w:rPr>
        <w:t xml:space="preserve">Adobe student access  </w:t>
      </w:r>
      <w:hyperlink r:id="rId21">
        <w:r>
          <w:rPr>
            <w:rFonts w:ascii="NPW Common" w:hAnsi="NPW Common" w:eastAsia="NPW Common" w:cs="NPW Common"/>
            <w:color w:val="234EDB"/>
          </w:rPr>
          <w:t>Open source</w:t>
        </w:r>
      </w:hyperlink>
    </w:p>
    <w:p>
      <w:r>
        <w:rPr>
          <w:rFonts w:ascii="NPW Common" w:hAnsi="NPW Common" w:eastAsia="NPW Common" w:cs="NPW Common"/>
        </w:rPr>
        <w:br w:type="page"/>
      </w:r>
    </w:p>
    <w:p>
      <w:pPr>
        <w:pStyle w:val="Heading1"/>
      </w:pPr>
      <w:r>
        <w:rPr>
          <w:rFonts w:ascii="NPW Common" w:hAnsi="NPW Common" w:eastAsia="NPW Common" w:cs="NPW Common"/>
        </w:rPr>
        <w:t>Sources and curriculum scope</w:t>
      </w:r>
    </w:p>
    <w:p>
      <w:r>
        <w:rPr>
          <w:rFonts w:ascii="NPW Common" w:hAnsi="NPW Common" w:eastAsia="NPW Common" w:cs="NPW Common"/>
          <w:b w:val="0"/>
        </w:rPr>
        <w:t>The learning materials use original fictional case records. The real sources below support the professional and legal concepts. They do not verify an actual event in the story. The full crosswalk gives exact grade codes and source links for all 20 cases.</w:t>
      </w:r>
    </w:p>
    <w:p>
      <w:r>
        <w:rPr>
          <w:rFonts w:ascii="NPW Common" w:hAnsi="NPW Common" w:eastAsia="NPW Common" w:cs="NPW Common"/>
          <w:b/>
        </w:rPr>
        <w:t xml:space="preserve">Common Core ELA Literacy  </w:t>
      </w:r>
      <w:hyperlink r:id="rId22">
        <w:r>
          <w:rPr>
            <w:rFonts w:ascii="NPW Common" w:hAnsi="NPW Common" w:eastAsia="NPW Common" w:cs="NPW Common"/>
            <w:color w:val="234EDB"/>
          </w:rPr>
          <w:t>Open source</w:t>
        </w:r>
      </w:hyperlink>
    </w:p>
    <w:p>
      <w:r>
        <w:rPr>
          <w:rFonts w:ascii="NPW Common" w:hAnsi="NPW Common" w:eastAsia="NPW Common" w:cs="NPW Common"/>
          <w:b/>
        </w:rPr>
        <w:t xml:space="preserve">AP English Language  </w:t>
      </w:r>
      <w:hyperlink r:id="rId23">
        <w:r>
          <w:rPr>
            <w:rFonts w:ascii="NPW Common" w:hAnsi="NPW Common" w:eastAsia="NPW Common" w:cs="NPW Common"/>
            <w:color w:val="234EDB"/>
          </w:rPr>
          <w:t>Open source</w:t>
        </w:r>
      </w:hyperlink>
    </w:p>
    <w:p>
      <w:r>
        <w:rPr>
          <w:rFonts w:ascii="NPW Common" w:hAnsi="NPW Common" w:eastAsia="NPW Common" w:cs="NPW Common"/>
          <w:b/>
        </w:rPr>
        <w:t xml:space="preserve">Pre-AP English 1  </w:t>
      </w:r>
      <w:hyperlink r:id="rId24">
        <w:r>
          <w:rPr>
            <w:rFonts w:ascii="NPW Common" w:hAnsi="NPW Common" w:eastAsia="NPW Common" w:cs="NPW Common"/>
            <w:color w:val="234EDB"/>
          </w:rPr>
          <w:t>Open source</w:t>
        </w:r>
      </w:hyperlink>
    </w:p>
    <w:p>
      <w:r>
        <w:rPr>
          <w:rFonts w:ascii="NPW Common" w:hAnsi="NPW Common" w:eastAsia="NPW Common" w:cs="NPW Common"/>
          <w:b/>
        </w:rPr>
        <w:t xml:space="preserve">Pre-AP English 2  </w:t>
      </w:r>
      <w:hyperlink r:id="rId25">
        <w:r>
          <w:rPr>
            <w:rFonts w:ascii="NPW Common" w:hAnsi="NPW Common" w:eastAsia="NPW Common" w:cs="NPW Common"/>
            <w:color w:val="234EDB"/>
          </w:rPr>
          <w:t>Open source</w:t>
        </w:r>
      </w:hyperlink>
    </w:p>
    <w:p>
      <w:r>
        <w:rPr>
          <w:rFonts w:ascii="NPW Common" w:hAnsi="NPW Common" w:eastAsia="NPW Common" w:cs="NPW Common"/>
          <w:b/>
        </w:rPr>
        <w:t xml:space="preserve">IB MYP Language and Literature  </w:t>
      </w:r>
      <w:hyperlink r:id="rId26">
        <w:r>
          <w:rPr>
            <w:rFonts w:ascii="NPW Common" w:hAnsi="NPW Common" w:eastAsia="NPW Common" w:cs="NPW Common"/>
            <w:color w:val="234EDB"/>
          </w:rPr>
          <w:t>Open source</w:t>
        </w:r>
      </w:hyperlink>
    </w:p>
    <w:p>
      <w:r>
        <w:rPr>
          <w:rFonts w:ascii="NPW Common" w:hAnsi="NPW Common" w:eastAsia="NPW Common" w:cs="NPW Common"/>
          <w:b/>
        </w:rPr>
        <w:t xml:space="preserve">IB DP Language and Literature  </w:t>
      </w:r>
      <w:hyperlink r:id="rId27">
        <w:r>
          <w:rPr>
            <w:rFonts w:ascii="NPW Common" w:hAnsi="NPW Common" w:eastAsia="NPW Common" w:cs="NPW Common"/>
            <w:color w:val="234EDB"/>
          </w:rPr>
          <w:t>Open source</w:t>
        </w:r>
      </w:hyperlink>
    </w:p>
    <w:p>
      <w:r>
        <w:rPr>
          <w:rFonts w:ascii="NPW Common" w:hAnsi="NPW Common" w:eastAsia="NPW Common" w:cs="NPW Common"/>
          <w:b/>
        </w:rPr>
        <w:t xml:space="preserve">CAST UDL  </w:t>
      </w:r>
      <w:hyperlink r:id="rId28">
        <w:r>
          <w:rPr>
            <w:rFonts w:ascii="NPW Common" w:hAnsi="NPW Common" w:eastAsia="NPW Common" w:cs="NPW Common"/>
            <w:color w:val="234EDB"/>
          </w:rPr>
          <w:t>Open source</w:t>
        </w:r>
      </w:hyperlink>
    </w:p>
    <w:p>
      <w:r>
        <w:rPr>
          <w:rFonts w:ascii="NPW Common" w:hAnsi="NPW Common" w:eastAsia="NPW Common" w:cs="NPW Common"/>
          <w:b/>
        </w:rPr>
        <w:t xml:space="preserve">PRSA ethics  </w:t>
      </w:r>
      <w:hyperlink r:id="rId29">
        <w:r>
          <w:rPr>
            <w:rFonts w:ascii="NPW Common" w:hAnsi="NPW Common" w:eastAsia="NPW Common" w:cs="NPW Common"/>
            <w:color w:val="234EDB"/>
          </w:rPr>
          <w:t>Open source</w:t>
        </w:r>
      </w:hyperlink>
    </w:p>
    <w:p>
      <w:r>
        <w:rPr>
          <w:rFonts w:ascii="NPW Common" w:hAnsi="NPW Common" w:eastAsia="NPW Common" w:cs="NPW Common"/>
          <w:b/>
        </w:rPr>
        <w:t xml:space="preserve">IDEA evaluation scope  </w:t>
      </w:r>
      <w:hyperlink r:id="rId14">
        <w:r>
          <w:rPr>
            <w:rFonts w:ascii="NPW Common" w:hAnsi="NPW Common" w:eastAsia="NPW Common" w:cs="NPW Common"/>
            <w:color w:val="234EDB"/>
          </w:rPr>
          <w:t>Open source</w:t>
        </w:r>
      </w:hyperlink>
    </w:p>
    <w:p>
      <w:r>
        <w:rPr>
          <w:rFonts w:ascii="NPW Common" w:hAnsi="NPW Common" w:eastAsia="NPW Common" w:cs="NPW Common"/>
          <w:b w:val="0"/>
        </w:rPr>
        <w:t>Common Core historical-document targets require qualifying texts. IB MYP and DP criteria differ. Honors expectations are locally defined. IDEA formal evaluation provisions do not prescribe every classroom quiz. Professional ethics codes are not laws.</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rFonts w:ascii="NPW Common" w:hAnsi="NPW Common" w:eastAsia="NPW Common" w:cs="NPW Common"/>
        <w:sz w:val="16"/>
      </w:rPr>
      <w:t>No, Pero Why?    Casebook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PW Common" w:hAnsi="NPW Common" w:eastAsia="NPW Common" w:cs="NPW Common"/>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3" w:lineRule="auto"/>
    </w:pPr>
    <w:rPr>
      <w:rFonts w:ascii="NPW Common" w:hAnsi="NPW Common" w:eastAsia="NPW Common" w:cs="NPW Common"/>
      <w:color w:val="172F4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NPW Common" w:hAnsi="NPW Common" w:eastAsia="NPW Common" w:cs="NPW Common"/>
    </w:rPr>
  </w:style>
  <w:style w:type="character" w:customStyle="1" w:styleId="HeaderChar">
    <w:name w:val="Header Char"/>
    <w:basedOn w:val="DefaultParagraphFont"/>
    <w:link w:val="Header"/>
    <w:uiPriority w:val="99"/>
    <w:rsid w:val="00E618BF"/>
    <w:rPr>
      <w:rFonts w:ascii="NPW Common" w:hAnsi="NPW Common" w:eastAsia="NPW Common" w:cs="NPW Common"/>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PW Common" w:hAnsi="NPW Common" w:eastAsia="NPW Common" w:cs="NPW Common"/>
    </w:rPr>
  </w:style>
  <w:style w:type="character" w:customStyle="1" w:styleId="FooterChar">
    <w:name w:val="Footer Char"/>
    <w:basedOn w:val="DefaultParagraphFont"/>
    <w:link w:val="Footer"/>
    <w:uiPriority w:val="99"/>
    <w:rsid w:val="00E618BF"/>
    <w:rPr>
      <w:rFonts w:ascii="NPW Common" w:hAnsi="NPW Common" w:eastAsia="NPW Common" w:cs="NPW Common"/>
    </w:rPr>
  </w:style>
  <w:style w:type="paragraph" w:styleId="Heading1">
    <w:name w:val="heading 1"/>
    <w:basedOn w:val="Normal"/>
    <w:next w:val="Normal"/>
    <w:link w:val="Heading1Char"/>
    <w:uiPriority w:val="9"/>
    <w:qFormat/>
    <w:rsid w:val="00FC693F"/>
    <w:pPr>
      <w:keepNext/>
      <w:keepLines/>
      <w:spacing w:before="480" w:after="160"/>
      <w:outlineLvl w:val="0"/>
    </w:pPr>
    <w:rPr>
      <w:rFonts w:ascii="NPW Common" w:hAnsi="NPW Common" w:eastAsia="NPW Common" w:cs="NPW Common"/>
      <w:b/>
      <w:bCs/>
      <w:color w:val="172F46"/>
      <w:sz w:val="42"/>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NPW Common" w:hAnsi="NPW Common" w:eastAsia="NPW Common" w:cs="NPW Common"/>
      <w:b/>
      <w:bCs/>
      <w:color w:val="172F46"/>
      <w:sz w:val="28"/>
      <w:szCs w:val="26"/>
    </w:rPr>
  </w:style>
  <w:style w:type="paragraph" w:styleId="Heading3">
    <w:name w:val="heading 3"/>
    <w:basedOn w:val="Normal"/>
    <w:next w:val="Normal"/>
    <w:link w:val="Heading3Char"/>
    <w:uiPriority w:val="9"/>
    <w:unhideWhenUsed/>
    <w:qFormat/>
    <w:rsid w:val="00FC693F"/>
    <w:pPr>
      <w:keepNext/>
      <w:keepLines/>
      <w:spacing w:before="200" w:after="160"/>
      <w:outlineLvl w:val="2"/>
    </w:pPr>
    <w:rPr>
      <w:rFonts w:ascii="NPW Common" w:hAnsi="NPW Common" w:eastAsia="NPW Common" w:cs="NPW Common"/>
      <w:b/>
      <w:bCs/>
      <w:color w:val="172F4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NPW Common" w:hAnsi="NPW Common" w:eastAsia="NPW Common" w:cs="NPW Commo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NPW Common" w:hAnsi="NPW Common" w:eastAsia="NPW Common" w:cs="NPW Commo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NPW Common" w:hAnsi="NPW Common" w:eastAsia="NPW Common" w:cs="NPW Commo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NPW Common" w:hAnsi="NPW Common" w:eastAsia="NPW Common" w:cs="NPW Commo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NPW Common" w:hAnsi="NPW Common" w:eastAsia="NPW Common" w:cs="NPW Commo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NPW Common" w:hAnsi="NPW Common" w:eastAsia="NPW Common" w:cs="NPW Common"/>
      <w:i/>
      <w:iCs/>
      <w:color w:val="404040" w:themeColor="text1" w:themeTint="BF"/>
      <w:sz w:val="20"/>
      <w:szCs w:val="20"/>
    </w:rPr>
  </w:style>
  <w:style w:type="character" w:default="1" w:styleId="DefaultParagraphFont">
    <w:name w:val="Default Paragraph Font"/>
    <w:uiPriority w:val="1"/>
    <w:semiHidden/>
    <w:unhideWhenUsed/>
    <w:rPr>
      <w:rFonts w:ascii="NPW Common" w:hAnsi="NPW Common" w:eastAsia="NPW Common" w:cs="NPW Common"/>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NPW Common" w:hAnsi="NPW Common" w:eastAsia="NPW Common" w:cs="NPW Common"/>
    </w:rPr>
  </w:style>
  <w:style w:type="character" w:customStyle="1" w:styleId="Heading1Char">
    <w:name w:val="Heading 1 Char"/>
    <w:basedOn w:val="DefaultParagraphFont"/>
    <w:link w:val="Heading1"/>
    <w:uiPriority w:val="9"/>
    <w:rsid w:val="00FC693F"/>
    <w:rPr>
      <w:rFonts w:ascii="NPW Common" w:hAnsi="NPW Common" w:eastAsia="NPW Common" w:cs="NPW Commo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NPW Common" w:hAnsi="NPW Common" w:eastAsia="NPW Common" w:cs="NPW Common"/>
      <w:b/>
      <w:bCs/>
      <w:color w:val="4F81BD" w:themeColor="accent1"/>
      <w:sz w:val="26"/>
      <w:szCs w:val="26"/>
    </w:rPr>
  </w:style>
  <w:style w:type="character" w:customStyle="1" w:styleId="Heading3Char">
    <w:name w:val="Heading 3 Char"/>
    <w:basedOn w:val="DefaultParagraphFont"/>
    <w:link w:val="Heading3"/>
    <w:uiPriority w:val="9"/>
    <w:rsid w:val="00FC693F"/>
    <w:rPr>
      <w:rFonts w:ascii="NPW Common" w:hAnsi="NPW Common" w:eastAsia="NPW Common" w:cs="NPW Common"/>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NPW Common" w:hAnsi="NPW Common" w:eastAsia="NPW Common" w:cs="NPW Common"/>
      <w:b/>
      <w:color w:val="172F46"/>
      <w:spacing w:val="5"/>
      <w:kern w:val="28"/>
      <w:sz w:val="56"/>
      <w:szCs w:val="52"/>
    </w:rPr>
  </w:style>
  <w:style w:type="character" w:customStyle="1" w:styleId="TitleChar">
    <w:name w:val="Title Char"/>
    <w:basedOn w:val="DefaultParagraphFont"/>
    <w:link w:val="Title"/>
    <w:uiPriority w:val="10"/>
    <w:rsid w:val="00FC693F"/>
    <w:rPr>
      <w:rFonts w:ascii="NPW Common" w:hAnsi="NPW Common" w:eastAsia="NPW Common" w:cs="NPW Commo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NPW Common" w:hAnsi="NPW Common" w:eastAsia="NPW Common" w:cs="NPW Common"/>
      <w:i/>
      <w:iCs/>
      <w:color w:val="172F46"/>
      <w:spacing w:val="15"/>
      <w:sz w:val="24"/>
      <w:szCs w:val="24"/>
    </w:rPr>
  </w:style>
  <w:style w:type="character" w:customStyle="1" w:styleId="SubtitleChar">
    <w:name w:val="Subtitle Char"/>
    <w:basedOn w:val="DefaultParagraphFont"/>
    <w:link w:val="Subtitle"/>
    <w:uiPriority w:val="11"/>
    <w:rsid w:val="00FC693F"/>
    <w:rPr>
      <w:rFonts w:ascii="NPW Common" w:hAnsi="NPW Common" w:eastAsia="NPW Common" w:cs="NPW Common"/>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NPW Common" w:hAnsi="NPW Common" w:eastAsia="NPW Common" w:cs="NPW Common"/>
    </w:rPr>
  </w:style>
  <w:style w:type="paragraph" w:styleId="BodyText">
    <w:name w:val="Body Text"/>
    <w:basedOn w:val="Normal"/>
    <w:link w:val="BodyTextChar"/>
    <w:uiPriority w:val="99"/>
    <w:unhideWhenUsed/>
    <w:rsid w:val="00AA1D8D"/>
    <w:pPr>
      <w:spacing w:after="120"/>
    </w:pPr>
    <w:rPr>
      <w:rFonts w:ascii="NPW Common" w:hAnsi="NPW Common" w:eastAsia="NPW Common" w:cs="NPW Common"/>
    </w:rPr>
  </w:style>
  <w:style w:type="character" w:customStyle="1" w:styleId="BodyTextChar">
    <w:name w:val="Body Text Char"/>
    <w:basedOn w:val="DefaultParagraphFont"/>
    <w:link w:val="BodyText"/>
    <w:uiPriority w:val="99"/>
    <w:rsid w:val="00AA1D8D"/>
    <w:rPr>
      <w:rFonts w:ascii="NPW Common" w:hAnsi="NPW Common" w:eastAsia="NPW Common" w:cs="NPW Common"/>
    </w:rPr>
  </w:style>
  <w:style w:type="paragraph" w:styleId="BodyText2">
    <w:name w:val="Body Text 2"/>
    <w:basedOn w:val="Normal"/>
    <w:link w:val="BodyText2Char"/>
    <w:uiPriority w:val="99"/>
    <w:unhideWhenUsed/>
    <w:rsid w:val="00AA1D8D"/>
    <w:pPr>
      <w:spacing w:after="120" w:line="480" w:lineRule="auto"/>
    </w:pPr>
    <w:rPr>
      <w:rFonts w:ascii="NPW Common" w:hAnsi="NPW Common" w:eastAsia="NPW Common" w:cs="NPW Common"/>
    </w:rPr>
  </w:style>
  <w:style w:type="character" w:customStyle="1" w:styleId="BodyText2Char">
    <w:name w:val="Body Text 2 Char"/>
    <w:basedOn w:val="DefaultParagraphFont"/>
    <w:link w:val="BodyText2"/>
    <w:uiPriority w:val="99"/>
    <w:rsid w:val="00AA1D8D"/>
    <w:rPr>
      <w:rFonts w:ascii="NPW Common" w:hAnsi="NPW Common" w:eastAsia="NPW Common" w:cs="NPW Common"/>
    </w:rPr>
  </w:style>
  <w:style w:type="paragraph" w:styleId="BodyText3">
    <w:name w:val="Body Text 3"/>
    <w:basedOn w:val="Normal"/>
    <w:link w:val="BodyText3Char"/>
    <w:uiPriority w:val="99"/>
    <w:unhideWhenUsed/>
    <w:rsid w:val="00AA1D8D"/>
    <w:pPr>
      <w:spacing w:after="120"/>
    </w:pPr>
    <w:rPr>
      <w:rFonts w:ascii="NPW Common" w:hAnsi="NPW Common" w:eastAsia="NPW Common" w:cs="NPW Common"/>
      <w:sz w:val="16"/>
      <w:szCs w:val="16"/>
    </w:rPr>
  </w:style>
  <w:style w:type="character" w:customStyle="1" w:styleId="BodyText3Char">
    <w:name w:val="Body Text 3 Char"/>
    <w:basedOn w:val="DefaultParagraphFont"/>
    <w:link w:val="BodyText3"/>
    <w:uiPriority w:val="99"/>
    <w:rsid w:val="00AA1D8D"/>
    <w:rPr>
      <w:rFonts w:ascii="NPW Common" w:hAnsi="NPW Common" w:eastAsia="NPW Common" w:cs="NPW Common"/>
      <w:sz w:val="16"/>
      <w:szCs w:val="16"/>
    </w:rPr>
  </w:style>
  <w:style w:type="paragraph" w:styleId="List">
    <w:name w:val="List"/>
    <w:basedOn w:val="Normal"/>
    <w:uiPriority w:val="99"/>
    <w:unhideWhenUsed/>
    <w:rsid w:val="00AA1D8D"/>
    <w:pPr>
      <w:ind w:left="360" w:hanging="360"/>
      <w:contextualSpacing/>
    </w:pPr>
    <w:rPr>
      <w:rFonts w:ascii="NPW Common" w:hAnsi="NPW Common" w:eastAsia="NPW Common" w:cs="NPW Common"/>
    </w:rPr>
  </w:style>
  <w:style w:type="paragraph" w:styleId="List2">
    <w:name w:val="List 2"/>
    <w:basedOn w:val="Normal"/>
    <w:uiPriority w:val="99"/>
    <w:unhideWhenUsed/>
    <w:rsid w:val="00326F90"/>
    <w:pPr>
      <w:ind w:left="720" w:hanging="360"/>
      <w:contextualSpacing/>
    </w:pPr>
    <w:rPr>
      <w:rFonts w:ascii="NPW Common" w:hAnsi="NPW Common" w:eastAsia="NPW Common" w:cs="NPW Common"/>
    </w:rPr>
  </w:style>
  <w:style w:type="paragraph" w:styleId="List3">
    <w:name w:val="List 3"/>
    <w:basedOn w:val="Normal"/>
    <w:uiPriority w:val="99"/>
    <w:unhideWhenUsed/>
    <w:rsid w:val="00326F90"/>
    <w:pPr>
      <w:ind w:left="1080" w:hanging="360"/>
      <w:contextualSpacing/>
    </w:pPr>
    <w:rPr>
      <w:rFonts w:ascii="NPW Common" w:hAnsi="NPW Common" w:eastAsia="NPW Common" w:cs="NPW Common"/>
    </w:rPr>
  </w:style>
  <w:style w:type="paragraph" w:styleId="ListBullet">
    <w:name w:val="List Bullet"/>
    <w:basedOn w:val="Normal"/>
    <w:uiPriority w:val="99"/>
    <w:unhideWhenUsed/>
    <w:rsid w:val="00326F90"/>
    <w:pPr>
      <w:numPr>
        <w:numId w:val="1"/>
      </w:numPr>
      <w:contextualSpacing/>
    </w:pPr>
    <w:rPr>
      <w:rFonts w:ascii="NPW Common" w:hAnsi="NPW Common" w:eastAsia="NPW Common" w:cs="NPW Common"/>
    </w:rPr>
  </w:style>
  <w:style w:type="paragraph" w:styleId="ListBullet2">
    <w:name w:val="List Bullet 2"/>
    <w:basedOn w:val="Normal"/>
    <w:uiPriority w:val="99"/>
    <w:unhideWhenUsed/>
    <w:rsid w:val="00326F90"/>
    <w:pPr>
      <w:numPr>
        <w:numId w:val="2"/>
      </w:numPr>
      <w:contextualSpacing/>
    </w:pPr>
    <w:rPr>
      <w:rFonts w:ascii="NPW Common" w:hAnsi="NPW Common" w:eastAsia="NPW Common" w:cs="NPW Common"/>
    </w:rPr>
  </w:style>
  <w:style w:type="paragraph" w:styleId="ListBullet3">
    <w:name w:val="List Bullet 3"/>
    <w:basedOn w:val="Normal"/>
    <w:uiPriority w:val="99"/>
    <w:unhideWhenUsed/>
    <w:rsid w:val="00326F90"/>
    <w:pPr>
      <w:numPr>
        <w:numId w:val="3"/>
      </w:numPr>
      <w:contextualSpacing/>
    </w:pPr>
    <w:rPr>
      <w:rFonts w:ascii="NPW Common" w:hAnsi="NPW Common" w:eastAsia="NPW Common" w:cs="NPW Common"/>
    </w:rPr>
  </w:style>
  <w:style w:type="paragraph" w:styleId="ListNumber">
    <w:name w:val="List Number"/>
    <w:basedOn w:val="Normal"/>
    <w:uiPriority w:val="99"/>
    <w:unhideWhenUsed/>
    <w:rsid w:val="00326F90"/>
    <w:pPr>
      <w:numPr>
        <w:numId w:val="5"/>
      </w:numPr>
      <w:contextualSpacing/>
    </w:pPr>
    <w:rPr>
      <w:rFonts w:ascii="NPW Common" w:hAnsi="NPW Common" w:eastAsia="NPW Common" w:cs="NPW Common"/>
    </w:rPr>
  </w:style>
  <w:style w:type="paragraph" w:styleId="ListNumber2">
    <w:name w:val="List Number 2"/>
    <w:basedOn w:val="Normal"/>
    <w:uiPriority w:val="99"/>
    <w:unhideWhenUsed/>
    <w:rsid w:val="0029639D"/>
    <w:pPr>
      <w:numPr>
        <w:numId w:val="6"/>
      </w:numPr>
      <w:contextualSpacing/>
    </w:pPr>
    <w:rPr>
      <w:rFonts w:ascii="NPW Common" w:hAnsi="NPW Common" w:eastAsia="NPW Common" w:cs="NPW Common"/>
    </w:rPr>
  </w:style>
  <w:style w:type="paragraph" w:styleId="ListNumber3">
    <w:name w:val="List Number 3"/>
    <w:basedOn w:val="Normal"/>
    <w:uiPriority w:val="99"/>
    <w:unhideWhenUsed/>
    <w:rsid w:val="0029639D"/>
    <w:pPr>
      <w:numPr>
        <w:numId w:val="7"/>
      </w:numPr>
      <w:contextualSpacing/>
    </w:pPr>
    <w:rPr>
      <w:rFonts w:ascii="NPW Common" w:hAnsi="NPW Common" w:eastAsia="NPW Common" w:cs="NPW Common"/>
    </w:rPr>
  </w:style>
  <w:style w:type="paragraph" w:styleId="ListContinue">
    <w:name w:val="List Continue"/>
    <w:basedOn w:val="Normal"/>
    <w:uiPriority w:val="99"/>
    <w:unhideWhenUsed/>
    <w:rsid w:val="0029639D"/>
    <w:pPr>
      <w:spacing w:after="120"/>
      <w:ind w:left="360"/>
      <w:contextualSpacing/>
    </w:pPr>
    <w:rPr>
      <w:rFonts w:ascii="NPW Common" w:hAnsi="NPW Common" w:eastAsia="NPW Common" w:cs="NPW Common"/>
    </w:rPr>
  </w:style>
  <w:style w:type="paragraph" w:styleId="ListContinue2">
    <w:name w:val="List Continue 2"/>
    <w:basedOn w:val="Normal"/>
    <w:uiPriority w:val="99"/>
    <w:unhideWhenUsed/>
    <w:rsid w:val="0029639D"/>
    <w:pPr>
      <w:spacing w:after="120"/>
      <w:ind w:left="720"/>
      <w:contextualSpacing/>
    </w:pPr>
    <w:rPr>
      <w:rFonts w:ascii="NPW Common" w:hAnsi="NPW Common" w:eastAsia="NPW Common" w:cs="NPW Common"/>
    </w:rPr>
  </w:style>
  <w:style w:type="paragraph" w:styleId="ListContinue3">
    <w:name w:val="List Continue 3"/>
    <w:basedOn w:val="Normal"/>
    <w:uiPriority w:val="99"/>
    <w:unhideWhenUsed/>
    <w:rsid w:val="0029639D"/>
    <w:pPr>
      <w:spacing w:after="120"/>
      <w:ind w:left="1080"/>
      <w:contextualSpacing/>
    </w:pPr>
    <w:rPr>
      <w:rFonts w:ascii="NPW Common" w:hAnsi="NPW Common" w:eastAsia="NPW Common" w:cs="NPW Common"/>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NPW Common" w:hAnsi="NPW Common" w:eastAsia="NPW Common" w:cs="NPW Common"/>
      <w:sz w:val="20"/>
      <w:szCs w:val="20"/>
    </w:rPr>
  </w:style>
  <w:style w:type="character" w:customStyle="1" w:styleId="MacroTextChar">
    <w:name w:val="Macro Text Char"/>
    <w:basedOn w:val="DefaultParagraphFont"/>
    <w:link w:val="MacroText"/>
    <w:uiPriority w:val="99"/>
    <w:rsid w:val="0029639D"/>
    <w:rPr>
      <w:rFonts w:ascii="NPW Common" w:hAnsi="NPW Common" w:eastAsia="NPW Common" w:cs="NPW Common"/>
      <w:sz w:val="20"/>
      <w:szCs w:val="20"/>
    </w:rPr>
  </w:style>
  <w:style w:type="paragraph" w:styleId="Quote">
    <w:name w:val="Quote"/>
    <w:basedOn w:val="Normal"/>
    <w:next w:val="Normal"/>
    <w:link w:val="QuoteChar"/>
    <w:uiPriority w:val="29"/>
    <w:qFormat/>
    <w:rsid w:val="00FC693F"/>
    <w:rPr>
      <w:rFonts w:ascii="NPW Common" w:hAnsi="NPW Common" w:eastAsia="NPW Common" w:cs="NPW Common"/>
      <w:i/>
      <w:iCs/>
      <w:color w:val="000000" w:themeColor="text1"/>
    </w:rPr>
  </w:style>
  <w:style w:type="character" w:customStyle="1" w:styleId="QuoteChar">
    <w:name w:val="Quote Char"/>
    <w:basedOn w:val="DefaultParagraphFont"/>
    <w:link w:val="Quote"/>
    <w:uiPriority w:val="29"/>
    <w:rsid w:val="00FC693F"/>
    <w:rPr>
      <w:rFonts w:ascii="NPW Common" w:hAnsi="NPW Common" w:eastAsia="NPW Common" w:cs="NPW Common"/>
      <w:i/>
      <w:iCs/>
      <w:color w:val="000000" w:themeColor="text1"/>
    </w:rPr>
  </w:style>
  <w:style w:type="character" w:customStyle="1" w:styleId="Heading4Char">
    <w:name w:val="Heading 4 Char"/>
    <w:basedOn w:val="DefaultParagraphFont"/>
    <w:link w:val="Heading4"/>
    <w:uiPriority w:val="9"/>
    <w:semiHidden/>
    <w:rsid w:val="00FC693F"/>
    <w:rPr>
      <w:rFonts w:ascii="NPW Common" w:hAnsi="NPW Common" w:eastAsia="NPW Common" w:cs="NPW Common"/>
      <w:b/>
      <w:bCs/>
      <w:i/>
      <w:iCs/>
      <w:color w:val="4F81BD" w:themeColor="accent1"/>
    </w:rPr>
  </w:style>
  <w:style w:type="character" w:customStyle="1" w:styleId="Heading5Char">
    <w:name w:val="Heading 5 Char"/>
    <w:basedOn w:val="DefaultParagraphFont"/>
    <w:link w:val="Heading5"/>
    <w:uiPriority w:val="9"/>
    <w:semiHidden/>
    <w:rsid w:val="00FC693F"/>
    <w:rPr>
      <w:rFonts w:ascii="NPW Common" w:hAnsi="NPW Common" w:eastAsia="NPW Common" w:cs="NPW Common"/>
      <w:color w:val="243F60" w:themeColor="accent1" w:themeShade="7F"/>
    </w:rPr>
  </w:style>
  <w:style w:type="character" w:customStyle="1" w:styleId="Heading6Char">
    <w:name w:val="Heading 6 Char"/>
    <w:basedOn w:val="DefaultParagraphFont"/>
    <w:link w:val="Heading6"/>
    <w:uiPriority w:val="9"/>
    <w:semiHidden/>
    <w:rsid w:val="00FC693F"/>
    <w:rPr>
      <w:rFonts w:ascii="NPW Common" w:hAnsi="NPW Common" w:eastAsia="NPW Common" w:cs="NPW Common"/>
      <w:i/>
      <w:iCs/>
      <w:color w:val="243F60" w:themeColor="accent1" w:themeShade="7F"/>
    </w:rPr>
  </w:style>
  <w:style w:type="character" w:customStyle="1" w:styleId="Heading7Char">
    <w:name w:val="Heading 7 Char"/>
    <w:basedOn w:val="DefaultParagraphFont"/>
    <w:link w:val="Heading7"/>
    <w:uiPriority w:val="9"/>
    <w:semiHidden/>
    <w:rsid w:val="00FC693F"/>
    <w:rPr>
      <w:rFonts w:ascii="NPW Common" w:hAnsi="NPW Common" w:eastAsia="NPW Common" w:cs="NPW Common"/>
      <w:i/>
      <w:iCs/>
      <w:color w:val="404040" w:themeColor="text1" w:themeTint="BF"/>
    </w:rPr>
  </w:style>
  <w:style w:type="character" w:customStyle="1" w:styleId="Heading8Char">
    <w:name w:val="Heading 8 Char"/>
    <w:basedOn w:val="DefaultParagraphFont"/>
    <w:link w:val="Heading8"/>
    <w:uiPriority w:val="9"/>
    <w:semiHidden/>
    <w:rsid w:val="00FC693F"/>
    <w:rPr>
      <w:rFonts w:ascii="NPW Common" w:hAnsi="NPW Common" w:eastAsia="NPW Common" w:cs="NPW Common"/>
      <w:color w:val="4F81BD" w:themeColor="accent1"/>
      <w:sz w:val="20"/>
      <w:szCs w:val="20"/>
    </w:rPr>
  </w:style>
  <w:style w:type="character" w:customStyle="1" w:styleId="Heading9Char">
    <w:name w:val="Heading 9 Char"/>
    <w:basedOn w:val="DefaultParagraphFont"/>
    <w:link w:val="Heading9"/>
    <w:uiPriority w:val="9"/>
    <w:semiHidden/>
    <w:rsid w:val="00FC693F"/>
    <w:rPr>
      <w:rFonts w:ascii="NPW Common" w:hAnsi="NPW Common" w:eastAsia="NPW Common" w:cs="NPW Commo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PW Common" w:hAnsi="NPW Common" w:eastAsia="NPW Common" w:cs="NPW Common"/>
      <w:b/>
      <w:bCs/>
      <w:color w:val="4F81BD" w:themeColor="accent1"/>
      <w:sz w:val="18"/>
      <w:szCs w:val="18"/>
    </w:rPr>
  </w:style>
  <w:style w:type="character" w:styleId="Strong">
    <w:name w:val="Strong"/>
    <w:basedOn w:val="DefaultParagraphFont"/>
    <w:uiPriority w:val="22"/>
    <w:qFormat/>
    <w:rsid w:val="00FC693F"/>
    <w:rPr>
      <w:rFonts w:ascii="NPW Common" w:hAnsi="NPW Common" w:eastAsia="NPW Common" w:cs="NPW Common"/>
      <w:b/>
      <w:bCs/>
    </w:rPr>
  </w:style>
  <w:style w:type="character" w:styleId="Emphasis">
    <w:name w:val="Emphasis"/>
    <w:basedOn w:val="DefaultParagraphFont"/>
    <w:uiPriority w:val="20"/>
    <w:qFormat/>
    <w:rsid w:val="00FC693F"/>
    <w:rPr>
      <w:rFonts w:ascii="NPW Common" w:hAnsi="NPW Common" w:eastAsia="NPW Common" w:cs="NPW Common"/>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NPW Common" w:hAnsi="NPW Common" w:eastAsia="NPW Common" w:cs="NPW Common"/>
      <w:b/>
      <w:bCs/>
      <w:i/>
      <w:iCs/>
      <w:color w:val="4F81BD" w:themeColor="accent1"/>
    </w:rPr>
  </w:style>
  <w:style w:type="character" w:customStyle="1" w:styleId="IntenseQuoteChar">
    <w:name w:val="Intense Quote Char"/>
    <w:basedOn w:val="DefaultParagraphFont"/>
    <w:link w:val="IntenseQuote"/>
    <w:uiPriority w:val="30"/>
    <w:rsid w:val="00FC693F"/>
    <w:rPr>
      <w:rFonts w:ascii="NPW Common" w:hAnsi="NPW Common" w:eastAsia="NPW Common" w:cs="NPW Common"/>
      <w:b/>
      <w:bCs/>
      <w:i/>
      <w:iCs/>
      <w:color w:val="4F81BD" w:themeColor="accent1"/>
    </w:rPr>
  </w:style>
  <w:style w:type="character" w:styleId="SubtleEmphasis">
    <w:name w:val="Subtle Emphasis"/>
    <w:basedOn w:val="DefaultParagraphFont"/>
    <w:uiPriority w:val="19"/>
    <w:qFormat/>
    <w:rsid w:val="00FC693F"/>
    <w:rPr>
      <w:rFonts w:ascii="NPW Common" w:hAnsi="NPW Common" w:eastAsia="NPW Common" w:cs="NPW Common"/>
      <w:i/>
      <w:iCs/>
      <w:color w:val="808080" w:themeColor="text1" w:themeTint="7F"/>
    </w:rPr>
  </w:style>
  <w:style w:type="character" w:styleId="IntenseEmphasis">
    <w:name w:val="Intense Emphasis"/>
    <w:basedOn w:val="DefaultParagraphFont"/>
    <w:uiPriority w:val="21"/>
    <w:qFormat/>
    <w:rsid w:val="00FC693F"/>
    <w:rPr>
      <w:rFonts w:ascii="NPW Common" w:hAnsi="NPW Common" w:eastAsia="NPW Common" w:cs="NPW Common"/>
      <w:b/>
      <w:bCs/>
      <w:i/>
      <w:iCs/>
      <w:color w:val="4F81BD" w:themeColor="accent1"/>
    </w:rPr>
  </w:style>
  <w:style w:type="character" w:styleId="SubtleReference">
    <w:name w:val="Subtle Reference"/>
    <w:basedOn w:val="DefaultParagraphFont"/>
    <w:uiPriority w:val="31"/>
    <w:qFormat/>
    <w:rsid w:val="00FC693F"/>
    <w:rPr>
      <w:rFonts w:ascii="NPW Common" w:hAnsi="NPW Common" w:eastAsia="NPW Common" w:cs="NPW Common"/>
      <w:smallCaps/>
      <w:color w:val="C0504D" w:themeColor="accent2"/>
      <w:u w:val="single"/>
    </w:rPr>
  </w:style>
  <w:style w:type="character" w:styleId="IntenseReference">
    <w:name w:val="Intense Reference"/>
    <w:basedOn w:val="DefaultParagraphFont"/>
    <w:uiPriority w:val="32"/>
    <w:qFormat/>
    <w:rsid w:val="00FC693F"/>
    <w:rPr>
      <w:rFonts w:ascii="NPW Common" w:hAnsi="NPW Common" w:eastAsia="NPW Common" w:cs="NPW Common"/>
      <w:b/>
      <w:bCs/>
      <w:smallCaps/>
      <w:color w:val="C0504D" w:themeColor="accent2"/>
      <w:spacing w:val="5"/>
      <w:u w:val="single"/>
    </w:rPr>
  </w:style>
  <w:style w:type="character" w:styleId="BookTitle">
    <w:name w:val="Book Title"/>
    <w:basedOn w:val="DefaultParagraphFont"/>
    <w:uiPriority w:val="33"/>
    <w:qFormat/>
    <w:rsid w:val="00FC693F"/>
    <w:rPr>
      <w:rFonts w:ascii="NPW Common" w:hAnsi="NPW Common" w:eastAsia="NPW Common" w:cs="NPW Common"/>
      <w:b/>
      <w:bCs/>
      <w:smallCaps/>
      <w:spacing w:val="5"/>
    </w:rPr>
  </w:style>
  <w:style w:type="paragraph" w:styleId="TOCHeading">
    <w:name w:val="TOC Heading"/>
    <w:basedOn w:val="Heading1"/>
    <w:next w:val="Normal"/>
    <w:uiPriority w:val="39"/>
    <w:semiHidden/>
    <w:unhideWhenUsed/>
    <w:qFormat/>
    <w:rsid w:val="00FC693F"/>
    <w:pPr>
      <w:outlineLvl w:val="9"/>
    </w:pPr>
    <w:rPr>
      <w:rFonts w:ascii="NPW Common" w:hAnsi="NPW Common" w:eastAsia="NPW Common" w:cs="NPW Common"/>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NPW Common" w:hAnsi="NPW Common" w:eastAsia="NPW Common" w:cs="NPW Commo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NPW Common" w:hAnsi="NPW Common" w:eastAsia="NPW Common" w:cs="NPW Commo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NPW Common" w:hAnsi="NPW Common" w:eastAsia="NPW Common" w:cs="NPW Common"/>
        <w:b/>
        <w:bCs/>
      </w:rPr>
    </w:tblStylePr>
    <w:tblStylePr w:type="lastCol">
      <w:rPr>
        <w:rFonts w:ascii="NPW Common" w:hAnsi="NPW Common" w:eastAsia="NPW Common" w:cs="NPW Commo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NPW Common" w:hAnsi="NPW Common" w:eastAsia="NPW Common" w:cs="NPW Commo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NPW Common" w:hAnsi="NPW Common" w:eastAsia="NPW Common" w:cs="NPW Commo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NPW Common" w:hAnsi="NPW Common" w:eastAsia="NPW Common" w:cs="NPW Common"/>
        <w:b/>
        <w:bCs/>
      </w:rPr>
    </w:tblStylePr>
    <w:tblStylePr w:type="lastCol">
      <w:rPr>
        <w:rFonts w:ascii="NPW Common" w:hAnsi="NPW Common" w:eastAsia="NPW Common" w:cs="NPW Commo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NPW Common" w:hAnsi="NPW Common" w:eastAsia="NPW Common" w:cs="NPW Commo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NPW Common" w:hAnsi="NPW Common" w:eastAsia="NPW Common" w:cs="NPW Commo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NPW Common" w:hAnsi="NPW Common" w:eastAsia="NPW Common" w:cs="NPW Common"/>
        <w:b/>
        <w:bCs/>
      </w:rPr>
    </w:tblStylePr>
    <w:tblStylePr w:type="lastCol">
      <w:rPr>
        <w:rFonts w:ascii="NPW Common" w:hAnsi="NPW Common" w:eastAsia="NPW Common" w:cs="NPW Commo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NPW Common" w:hAnsi="NPW Common" w:eastAsia="NPW Common" w:cs="NPW Commo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NPW Common" w:hAnsi="NPW Common" w:eastAsia="NPW Common" w:cs="NPW Commo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NPW Common" w:hAnsi="NPW Common" w:eastAsia="NPW Common" w:cs="NPW Common"/>
        <w:b/>
        <w:bCs/>
      </w:rPr>
    </w:tblStylePr>
    <w:tblStylePr w:type="lastCol">
      <w:rPr>
        <w:rFonts w:ascii="NPW Common" w:hAnsi="NPW Common" w:eastAsia="NPW Common" w:cs="NPW Commo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NPW Common" w:hAnsi="NPW Common" w:eastAsia="NPW Common" w:cs="NPW Commo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NPW Common" w:hAnsi="NPW Common" w:eastAsia="NPW Common" w:cs="NPW Commo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NPW Common" w:hAnsi="NPW Common" w:eastAsia="NPW Common" w:cs="NPW Common"/>
        <w:b/>
        <w:bCs/>
      </w:rPr>
    </w:tblStylePr>
    <w:tblStylePr w:type="lastCol">
      <w:rPr>
        <w:rFonts w:ascii="NPW Common" w:hAnsi="NPW Common" w:eastAsia="NPW Common" w:cs="NPW Commo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NPW Common" w:hAnsi="NPW Common" w:eastAsia="NPW Common" w:cs="NPW Commo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NPW Common" w:hAnsi="NPW Common" w:eastAsia="NPW Common" w:cs="NPW Commo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NPW Common" w:hAnsi="NPW Common" w:eastAsia="NPW Common" w:cs="NPW Common"/>
        <w:b/>
        <w:bCs/>
      </w:rPr>
    </w:tblStylePr>
    <w:tblStylePr w:type="lastCol">
      <w:rPr>
        <w:rFonts w:ascii="NPW Common" w:hAnsi="NPW Common" w:eastAsia="NPW Common" w:cs="NPW Commo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NPW Common" w:hAnsi="NPW Common" w:eastAsia="NPW Common" w:cs="NPW Commo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NPW Common" w:hAnsi="NPW Common" w:eastAsia="NPW Common" w:cs="NPW Commo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NPW Common" w:hAnsi="NPW Common" w:eastAsia="NPW Common" w:cs="NPW Common"/>
        <w:b/>
        <w:bCs/>
      </w:rPr>
    </w:tblStylePr>
    <w:tblStylePr w:type="lastCol">
      <w:rPr>
        <w:rFonts w:ascii="NPW Common" w:hAnsi="NPW Common" w:eastAsia="NPW Common" w:cs="NPW Commo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NPW Common" w:hAnsi="NPW Common" w:eastAsia="NPW Common" w:cs="NPW Commo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NPW Common" w:hAnsi="NPW Common" w:eastAsia="NPW Common" w:cs="NPW Commo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NPW Common" w:hAnsi="NPW Common" w:eastAsia="NPW Common" w:cs="NPW Commo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NPW Common" w:hAnsi="NPW Common" w:eastAsia="NPW Common" w:cs="NPW Commo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NPW Common" w:hAnsi="NPW Common" w:eastAsia="NPW Common" w:cs="NPW Commo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NPW Common" w:hAnsi="NPW Common" w:eastAsia="NPW Common" w:cs="NPW Commo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NPW Common" w:hAnsi="NPW Common" w:eastAsia="NPW Common" w:cs="NPW Commo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NPW Common" w:hAnsi="NPW Common" w:eastAsia="NPW Common" w:cs="NPW Commo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cor.inquirygroup.org/curriculum/collections/intro-lessons/" TargetMode="External"/><Relationship Id="rId12" Type="http://schemas.openxmlformats.org/officeDocument/2006/relationships/hyperlink" Target="https://owl.purdue.edu/owl/general_writing/academic_writing/historical_perspectives_on_argumentation/toulmin_argument.html" TargetMode="External"/><Relationship Id="rId13" Type="http://schemas.openxmlformats.org/officeDocument/2006/relationships/hyperlink" Target="https://www.americanbar.org/groups/law_students/resources/student-lawyer/student-essentials/legal-reasoning-its-all-about-irac/" TargetMode="External"/><Relationship Id="rId14" Type="http://schemas.openxmlformats.org/officeDocument/2006/relationships/hyperlink" Target="https://sites.ed.gov/idea/regs/b/d/300.304" TargetMode="External"/><Relationship Id="rId15" Type="http://schemas.openxmlformats.org/officeDocument/2006/relationships/hyperlink" Target="https://www.prsa.org/docs/default-source/accreditation-site/apr-study-guide.pdf?sfvrsn=3023e23c_2" TargetMode="External"/><Relationship Id="rId16" Type="http://schemas.openxmlformats.org/officeDocument/2006/relationships/hyperlink" Target="https://openstax.org/books/introduction-sociology-3e/pages/1-1-what-is-sociology" TargetMode="External"/><Relationship Id="rId17" Type="http://schemas.openxmlformats.org/officeDocument/2006/relationships/hyperlink" Target="https://www.cdc.gov/polaris/php/cdc-policy-process/policy-analysis.html" TargetMode="External"/><Relationship Id="rId18" Type="http://schemas.openxmlformats.org/officeDocument/2006/relationships/hyperlink" Target="https://www.epa.gov/international-cooperation/public-participation-guide-stakeholder-interviews" TargetMode="External"/><Relationship Id="rId19" Type="http://schemas.openxmlformats.org/officeDocument/2006/relationships/hyperlink" Target="https://support.apple.com/guide/pages-icloud/upload-a-document-gile5f12111b/icloud" TargetMode="External"/><Relationship Id="rId20" Type="http://schemas.openxmlformats.org/officeDocument/2006/relationships/hyperlink" Target="https://support.apple.com/guide/keynote-icloud/intro-to-keynote-for-icloud-gilf2fb004e2/icloud" TargetMode="External"/><Relationship Id="rId21" Type="http://schemas.openxmlformats.org/officeDocument/2006/relationships/hyperlink" Target="https://helpx.adobe.com/express/web/adobe-express-for-education/for-students/students-overview.html" TargetMode="External"/><Relationship Id="rId22" Type="http://schemas.openxmlformats.org/officeDocument/2006/relationships/hyperlink" Target="https://www.thecorestandards.org/ELA-Literacy/" TargetMode="External"/><Relationship Id="rId23" Type="http://schemas.openxmlformats.org/officeDocument/2006/relationships/hyperlink" Target="https://apcentral.collegeboard.org/courses/ap-english-language-and-composition" TargetMode="External"/><Relationship Id="rId24" Type="http://schemas.openxmlformats.org/officeDocument/2006/relationships/hyperlink" Target="https://pre-ap.collegeboard.org/courses/english-1" TargetMode="External"/><Relationship Id="rId25" Type="http://schemas.openxmlformats.org/officeDocument/2006/relationships/hyperlink" Target="https://pre-ap.collegeboard.org/courses/english-2" TargetMode="External"/><Relationship Id="rId26" Type="http://schemas.openxmlformats.org/officeDocument/2006/relationships/hyperlink" Target="https://ibo.org/programmes/middle-years-programme/curriculum/language-and-literature/" TargetMode="External"/><Relationship Id="rId27" Type="http://schemas.openxmlformats.org/officeDocument/2006/relationships/hyperlink" Target="https://ibo.org/programmes/diploma-programme/curriculum/language-and-literature/language-a-language-and-literature/" TargetMode="External"/><Relationship Id="rId28" Type="http://schemas.openxmlformats.org/officeDocument/2006/relationships/hyperlink" Target="https://udlguidelines.cast.org/" TargetMode="External"/><Relationship Id="rId29" Type="http://schemas.openxmlformats.org/officeDocument/2006/relationships/hyperlink" Target="https://www.prsa.org/professional-development/prsa-resources/eth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Casebook teacher edition</dc:title>
  <dc:subject/>
  <dc:creator>No, Pero Why?</dc:creator>
  <cp:keywords/>
  <dc:description>generated by python-docx</dc:description>
  <cp:lastModifiedBy/>
  <cp:revision>1</cp:revision>
  <dcterms:created xsi:type="dcterms:W3CDTF">2013-12-23T23:15:00Z</dcterms:created>
  <dcterms:modified xsi:type="dcterms:W3CDTF">2013-12-23T23:15:00Z</dcterms:modified>
  <cp:category/>
</cp:coreProperties>
</file>